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3816"/>
      </w:tblGrid>
      <w:tr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23160" cy="419064"/>
                  <wp:docPr id="1" name="Picture 1" descr="University of Virginia Frank Batten School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19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54480" cy="372502"/>
                  <wp:docPr id="2" name="Picture 2" descr="University of Virginia School of Architecture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72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  <w:trHeight w:val="57" w:hRule="atLeast"/>
        </w:trPr>
        <w:tc>
          <w:tcPr>
            <w:tcW w:type="dxa" w:w="10454"/>
            <w:shd w:fill="E57200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spacing w:before="140" w:after="20"/>
      </w:pPr>
      <w:r>
        <w:t>Team Work Plan</w:t>
      </w:r>
    </w:p>
    <w:p>
      <w:pPr>
        <w:jc w:val="left"/>
      </w:pPr>
      <w:r>
        <w:rPr>
          <w:rFonts w:ascii="Futura Demi" w:hAnsi="Futura Demi"/>
          <w:b/>
          <w:color w:val="232D4B"/>
          <w:sz w:val="17"/>
        </w:rPr>
        <w:t>Rural Planning and Economic Development | PLAC 5500-001 / LPPP 5559-001 | Fall 2026</w:t>
      </w:r>
    </w:p>
    <w:p>
      <w:pPr>
        <w:pStyle w:val="Subtitle"/>
      </w:pPr>
      <w:r>
        <w:t>A working plan for scope, evidence, responsibilities, review, and delivery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3024"/>
      </w:tblGrid>
      <w:tr>
        <w:tc>
          <w:tcPr>
            <w:tcW w:type="dxa" w:w="5227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  <w:sz w:val="17"/>
              </w:rPr>
              <w:t>DUE: September 16, 2026, at the start of class</w:t>
            </w:r>
          </w:p>
        </w:tc>
        <w:tc>
          <w:tcPr>
            <w:tcW w:type="dxa" w:w="5227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  <w:sz w:val="17"/>
              </w:rPr>
              <w:t>COURSE WEIGHT: Supports the 20% Work Plan review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BE8D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 xml:space="preserve">Rule: </w:t>
            </w:r>
            <w:r>
              <w:t>Promise only what the team can responsibly deliver. Keep the complete ambition visible, then distinguish the semester commitment, aspirational work, and items outside scope.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7992"/>
      </w:tblGrid>
      <w:tr>
        <w:trPr>
          <w:cantSplit/>
          <w:trHeight w:val="503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Team / project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Community / client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Client liaison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Faculty contact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Tyler Hinkle, AICP</w:t>
            </w:r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Version / date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1. Client question and intended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Client question in plain language</w:t>
            </w:r>
          </w:p>
        </w:tc>
      </w:tr>
      <w:tr>
        <w:trPr>
          <w:cantSplit/>
          <w:trHeight w:val="93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Who will use the product, for what decision, and when?</w:t>
            </w:r>
          </w:p>
        </w:tc>
      </w:tr>
      <w:tr>
        <w:trPr>
          <w:cantSplit/>
          <w:trHeight w:val="1080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2.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Complete ambition: the full opportunity if time, data, and capacity were unlimited</w:t>
            </w:r>
          </w:p>
        </w:tc>
      </w:tr>
      <w:tr>
        <w:trPr>
          <w:cantSplit/>
          <w:trHeight w:val="1080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Committed semester scope: what the team promises to deliver</w:t>
            </w:r>
          </w:p>
        </w:tc>
      </w:tr>
      <w:tr>
        <w:trPr>
          <w:cantSplit/>
          <w:trHeight w:val="1224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Aspirational scope: valuable work attempted only after the commitment is secure</w:t>
            </w:r>
          </w:p>
        </w:tc>
      </w:tr>
      <w:tr>
        <w:trPr>
          <w:cantSplit/>
          <w:trHeight w:val="93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Out of scope and unresolved client questions</w:t>
            </w:r>
          </w:p>
        </w:tc>
      </w:tr>
      <w:tr>
        <w:trPr>
          <w:cantSplit/>
          <w:trHeight w:val="93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3. Deliverables and acceptance criteria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742"/>
        <w:gridCol w:w="1742"/>
        <w:gridCol w:w="1742"/>
        <w:gridCol w:w="1742"/>
        <w:gridCol w:w="1742"/>
        <w:gridCol w:w="1742"/>
      </w:tblGrid>
      <w:tr>
        <w:trPr>
          <w:tblHeader w:val="true"/>
        </w:trPr>
        <w:tc>
          <w:tcPr>
            <w:tcW w:type="dxa" w:w="1742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Deliverable / component</w:t>
            </w:r>
          </w:p>
        </w:tc>
        <w:tc>
          <w:tcPr>
            <w:tcW w:type="dxa" w:w="1742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Intended user</w:t>
            </w:r>
          </w:p>
        </w:tc>
        <w:tc>
          <w:tcPr>
            <w:tcW w:type="dxa" w:w="1742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Format</w:t>
            </w:r>
          </w:p>
        </w:tc>
        <w:tc>
          <w:tcPr>
            <w:tcW w:type="dxa" w:w="1742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Evidence needed</w:t>
            </w:r>
          </w:p>
        </w:tc>
        <w:tc>
          <w:tcPr>
            <w:tcW w:type="dxa" w:w="1742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Reviewer</w:t>
            </w:r>
          </w:p>
        </w:tc>
        <w:tc>
          <w:tcPr>
            <w:tcW w:type="dxa" w:w="1742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How we know it is usable</w:t>
            </w:r>
          </w:p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  <w:tr>
        <w:trPr>
          <w:cantSplit/>
          <w:trHeight w:val="792" w:hRule="atLeast"/>
        </w:trPr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  <w:tc>
          <w:tcPr>
            <w:tcW w:type="dxa" w:w="1742"/>
          </w:tcPr>
          <w:p/>
        </w:tc>
      </w:tr>
    </w:tbl>
    <w:p>
      <w:pPr>
        <w:pStyle w:val="Heading1"/>
      </w:pPr>
      <w:r>
        <w:t>4. Workstreams, owners, and dependencies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>
        <w:trPr>
          <w:tblHeader w:val="true"/>
        </w:trPr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Workstream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Lead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Support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Input / source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Dependency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Review point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Next action</w:t>
            </w:r>
          </w:p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  <w:tr>
        <w:trPr>
          <w:cantSplit/>
          <w:trHeight w:val="720" w:hRule="atLeast"/>
        </w:trPr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  <w:tc>
          <w:tcPr>
            <w:tcW w:type="dxa" w:w="1493"/>
          </w:tcPr>
          <w:p/>
        </w:tc>
      </w:tr>
    </w:tbl>
    <w:p>
      <w:r>
        <w:br w:type="page"/>
      </w:r>
    </w:p>
    <w:p>
      <w:pPr>
        <w:pStyle w:val="Heading1"/>
      </w:pPr>
      <w:r>
        <w:t>5. Milestones and review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85"/>
        <w:gridCol w:w="3485"/>
        <w:gridCol w:w="3485"/>
      </w:tblGrid>
      <w:tr>
        <w:trPr>
          <w:tblHeader w:val="true"/>
        </w:trPr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Course milestone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Course deadline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Team/client review date and owner</w:t>
            </w:r>
          </w:p>
        </w:tc>
      </w:tr>
      <w:tr>
        <w:trPr>
          <w:cantSplit/>
          <w:trHeight w:val="648" w:hRule="atLeast"/>
        </w:trPr>
        <w:tc>
          <w:tcPr>
            <w:tcW w:type="dxa" w:w="3485"/>
          </w:tcPr>
          <w:p>
            <w:r>
              <w:t>Team Agreement and Partner Work Plan</w:t>
            </w:r>
          </w:p>
        </w:tc>
        <w:tc>
          <w:tcPr>
            <w:tcW w:type="dxa" w:w="3485"/>
          </w:tcPr>
          <w:p>
            <w:r>
              <w:t>September 16, start of class</w:t>
            </w:r>
          </w:p>
        </w:tc>
        <w:tc>
          <w:tcPr>
            <w:tcW w:type="dxa" w:w="3485"/>
          </w:tcPr>
          <w:p>
            <w:r/>
          </w:p>
        </w:tc>
      </w:tr>
      <w:tr>
        <w:trPr>
          <w:cantSplit/>
          <w:trHeight w:val="648" w:hRule="atLeast"/>
        </w:trPr>
        <w:tc>
          <w:tcPr>
            <w:tcW w:type="dxa" w:w="3485"/>
          </w:tcPr>
          <w:p>
            <w:r>
              <w:t>Work Plan, 20% of Total Project</w:t>
            </w:r>
          </w:p>
        </w:tc>
        <w:tc>
          <w:tcPr>
            <w:tcW w:type="dxa" w:w="3485"/>
          </w:tcPr>
          <w:p>
            <w:r>
              <w:t>September 23, 12:00 p.m.</w:t>
            </w:r>
          </w:p>
        </w:tc>
        <w:tc>
          <w:tcPr>
            <w:tcW w:type="dxa" w:w="3485"/>
          </w:tcPr>
          <w:p>
            <w:r/>
          </w:p>
        </w:tc>
      </w:tr>
      <w:tr>
        <w:trPr>
          <w:cantSplit/>
          <w:trHeight w:val="648" w:hRule="atLeast"/>
        </w:trPr>
        <w:tc>
          <w:tcPr>
            <w:tcW w:type="dxa" w:w="3485"/>
          </w:tcPr>
          <w:p>
            <w:r>
              <w:t>Working Introduction and Document Architecture, 40%</w:t>
            </w:r>
          </w:p>
        </w:tc>
        <w:tc>
          <w:tcPr>
            <w:tcW w:type="dxa" w:w="3485"/>
          </w:tcPr>
          <w:p>
            <w:r>
              <w:t>October 7, 12:00 p.m.</w:t>
            </w:r>
          </w:p>
        </w:tc>
        <w:tc>
          <w:tcPr>
            <w:tcW w:type="dxa" w:w="3485"/>
          </w:tcPr>
          <w:p>
            <w:r/>
          </w:p>
        </w:tc>
      </w:tr>
      <w:tr>
        <w:trPr>
          <w:cantSplit/>
          <w:trHeight w:val="648" w:hRule="atLeast"/>
        </w:trPr>
        <w:tc>
          <w:tcPr>
            <w:tcW w:type="dxa" w:w="3485"/>
          </w:tcPr>
          <w:p>
            <w:r>
              <w:t>First Substantive Draft, 60%</w:t>
            </w:r>
          </w:p>
        </w:tc>
        <w:tc>
          <w:tcPr>
            <w:tcW w:type="dxa" w:w="3485"/>
          </w:tcPr>
          <w:p>
            <w:r>
              <w:t>October 21, 12:00 p.m.</w:t>
            </w:r>
          </w:p>
        </w:tc>
        <w:tc>
          <w:tcPr>
            <w:tcW w:type="dxa" w:w="3485"/>
          </w:tcPr>
          <w:p>
            <w:r/>
          </w:p>
        </w:tc>
      </w:tr>
      <w:tr>
        <w:trPr>
          <w:cantSplit/>
          <w:trHeight w:val="648" w:hRule="atLeast"/>
        </w:trPr>
        <w:tc>
          <w:tcPr>
            <w:tcW w:type="dxa" w:w="3485"/>
          </w:tcPr>
          <w:p>
            <w:r>
              <w:t>Staff Review Draft, 80%</w:t>
            </w:r>
          </w:p>
        </w:tc>
        <w:tc>
          <w:tcPr>
            <w:tcW w:type="dxa" w:w="3485"/>
          </w:tcPr>
          <w:p>
            <w:r>
              <w:t>November 11, 12:00 p.m.</w:t>
            </w:r>
          </w:p>
        </w:tc>
        <w:tc>
          <w:tcPr>
            <w:tcW w:type="dxa" w:w="3485"/>
          </w:tcPr>
          <w:p>
            <w:r/>
          </w:p>
        </w:tc>
      </w:tr>
      <w:tr>
        <w:trPr>
          <w:cantSplit/>
          <w:trHeight w:val="648" w:hRule="atLeast"/>
        </w:trPr>
        <w:tc>
          <w:tcPr>
            <w:tcW w:type="dxa" w:w="3485"/>
          </w:tcPr>
          <w:p>
            <w:r>
              <w:t>Final Product, 100%</w:t>
            </w:r>
          </w:p>
        </w:tc>
        <w:tc>
          <w:tcPr>
            <w:tcW w:type="dxa" w:w="3485"/>
          </w:tcPr>
          <w:p>
            <w:r>
              <w:t>December 9, 12:00 p.m.</w:t>
            </w:r>
          </w:p>
        </w:tc>
        <w:tc>
          <w:tcPr>
            <w:tcW w:type="dxa" w:w="3485"/>
          </w:tcPr>
          <w:p>
            <w:r/>
          </w:p>
        </w:tc>
      </w:tr>
      <w:tr>
        <w:trPr>
          <w:cantSplit/>
          <w:trHeight w:val="648" w:hRule="atLeast"/>
        </w:trPr>
        <w:tc>
          <w:tcPr>
            <w:tcW w:type="dxa" w:w="3485"/>
          </w:tcPr>
          <w:p>
            <w:r>
              <w:t>Final Presentation</w:t>
            </w:r>
          </w:p>
        </w:tc>
        <w:tc>
          <w:tcPr>
            <w:tcW w:type="dxa" w:w="3485"/>
          </w:tcPr>
          <w:p>
            <w:r>
              <w:t>December 9, 3:30 p.m.</w:t>
            </w:r>
          </w:p>
        </w:tc>
        <w:tc>
          <w:tcPr>
            <w:tcW w:type="dxa" w:w="3485"/>
          </w:tcPr>
          <w:p>
            <w:r/>
          </w:p>
        </w:tc>
      </w:tr>
    </w:tbl>
    <w:p>
      <w:pPr>
        <w:pStyle w:val="Heading1"/>
      </w:pPr>
      <w:r>
        <w:t>6. Evidence, field work, and permissions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Existing plans, codes, reports, maps, and meeting records are inventoried.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Data source, date, geography, units, coverage, and limitations are recorded.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Field observations and photographs have dates, locations, and provenance.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Client-owned or restricted information has an approved storage and sharing path.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Drafts will not be released publicly until the relevant client staff authorize release.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Material AI assistance will be disclosed and independently checked.</w:t>
      </w:r>
    </w:p>
    <w:p>
      <w:pPr>
        <w:pStyle w:val="Heading1"/>
      </w:pPr>
      <w:r>
        <w:t>7. Risks and early response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Risk / uncertainty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Likelihood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Effect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Early warning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Response / owner</w:t>
            </w:r>
          </w:p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91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</w:tbl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utura Book" w:hAnsi="Futura Book"/>
        <w:color w:val="808080"/>
        <w:sz w:val="14"/>
      </w:rPr>
      <w:t xml:space="preserve">Rural Planning and Economic Development | PLAC 5500-001 / LPPP 5559-001 | Fall 2026 |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Futura Book" w:hAnsi="Futura Book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Futura Demi" w:hAnsi="Futura Demi"/>
      <w:b/>
      <w:bCs/>
      <w:color w:val="232D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Futura Demi" w:hAnsi="Futura Demi"/>
      <w:b/>
      <w:bCs/>
      <w:color w:val="E572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Futura Demi" w:hAnsi="Futura Demi"/>
      <w:b/>
      <w:bCs/>
      <w:color w:val="232D4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Futura Demi" w:hAnsi="Futura Demi"/>
      <w:b/>
      <w:color w:val="23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60"/>
    </w:pPr>
    <w:rPr>
      <w:rFonts w:asciiTheme="majorHAnsi" w:eastAsiaTheme="majorEastAsia" w:hAnsiTheme="majorHAnsi" w:cstheme="majorBidi" w:ascii="Futura Demi" w:hAnsi="Futura Demi"/>
      <w:b/>
      <w:i/>
      <w:iCs/>
      <w:color w:val="80808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Work Plan</dc:title>
  <dc:subject>Rural Planning and Economic Development</dc:subject>
  <dc:creator>Tyler Hinkle, AICP</dc:creator>
  <cp:keywords>rural planning; economic development; course template; UVA</cp:keywords>
  <dc:description>Built from the Fall 2026 syllabus and current course assignment sources.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