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552"/>
        <w:gridCol w:w="3816"/>
      </w:tblGrid>
      <w:tr>
        <w:tc>
          <w:tcPr>
            <w:tcW w:type="dxa" w:w="5227"/>
            <w:vAlign w:val="center"/>
            <w:tcMar>
              <w:top w:w="0" w:type="dxa"/>
              <w:start w:w="0" w:type="dxa"/>
              <w:bottom w:w="0" w:type="dxa"/>
              <w:end w:w="0" w:type="dxa"/>
            </w:tcMar>
          </w:tcPr>
          <w:p>
            <w:pPr>
              <w:jc w:val="left"/>
            </w:pPr>
            <w:r>
              <w:drawing>
                <wp:inline xmlns:a="http://schemas.openxmlformats.org/drawingml/2006/main" xmlns:pic="http://schemas.openxmlformats.org/drawingml/2006/picture">
                  <wp:extent cx="2423160" cy="419064"/>
                  <wp:docPr id="1" name="Picture 1" descr="University of Virginia Frank Batten School mark"/>
                  <wp:cNvGraphicFramePr>
                    <a:graphicFrameLocks noChangeAspect="1"/>
                  </wp:cNvGraphicFramePr>
                  <a:graphic>
                    <a:graphicData uri="http://schemas.openxmlformats.org/drawingml/2006/picture">
                      <pic:pic>
                        <pic:nvPicPr>
                          <pic:cNvPr id="0" name="syllabus_brand_mark_1.png"/>
                          <pic:cNvPicPr/>
                        </pic:nvPicPr>
                        <pic:blipFill>
                          <a:blip r:embed="rId10"/>
                          <a:stretch>
                            <a:fillRect/>
                          </a:stretch>
                        </pic:blipFill>
                        <pic:spPr>
                          <a:xfrm>
                            <a:off x="0" y="0"/>
                            <a:ext cx="2423160" cy="419064"/>
                          </a:xfrm>
                          <a:prstGeom prst="rect"/>
                        </pic:spPr>
                      </pic:pic>
                    </a:graphicData>
                  </a:graphic>
                </wp:inline>
              </w:drawing>
            </w:r>
          </w:p>
        </w:tc>
        <w:tc>
          <w:tcPr>
            <w:tcW w:type="dxa" w:w="5227"/>
            <w:vAlign w:val="center"/>
            <w:tcMar>
              <w:top w:w="0" w:type="dxa"/>
              <w:start w:w="0" w:type="dxa"/>
              <w:bottom w:w="0" w:type="dxa"/>
              <w:end w:w="0" w:type="dxa"/>
            </w:tcMar>
          </w:tcPr>
          <w:p>
            <w:pPr>
              <w:jc w:val="right"/>
            </w:pPr>
            <w:r>
              <w:drawing>
                <wp:inline xmlns:a="http://schemas.openxmlformats.org/drawingml/2006/main" xmlns:pic="http://schemas.openxmlformats.org/drawingml/2006/picture">
                  <wp:extent cx="1554480" cy="372502"/>
                  <wp:docPr id="2" name="Picture 2" descr="University of Virginia School of Architecture mark"/>
                  <wp:cNvGraphicFramePr>
                    <a:graphicFrameLocks noChangeAspect="1"/>
                  </wp:cNvGraphicFramePr>
                  <a:graphic>
                    <a:graphicData uri="http://schemas.openxmlformats.org/drawingml/2006/picture">
                      <pic:pic>
                        <pic:nvPicPr>
                          <pic:cNvPr id="0" name="syllabus_brand_mark_2.png"/>
                          <pic:cNvPicPr/>
                        </pic:nvPicPr>
                        <pic:blipFill>
                          <a:blip r:embed="rId11"/>
                          <a:stretch>
                            <a:fillRect/>
                          </a:stretch>
                        </pic:blipFill>
                        <pic:spPr>
                          <a:xfrm>
                            <a:off x="0" y="0"/>
                            <a:ext cx="1554480" cy="372502"/>
                          </a:xfrm>
                          <a:prstGeom prst="rect"/>
                        </pic:spPr>
                      </pic:pic>
                    </a:graphicData>
                  </a:graphic>
                </wp:inline>
              </w:drawing>
            </w:r>
          </w:p>
        </w:tc>
      </w:tr>
    </w:tbl>
    <w:tbl>
      <w:tblPr>
        <w:tblW w:type="auto" w:w="0"/>
        <w:jc w:val="center"/>
        <w:tblLook w:firstColumn="1" w:firstRow="1" w:lastColumn="0" w:lastRow="0" w:noHBand="0" w:noVBand="1" w:val="04A0"/>
      </w:tblPr>
      <w:tblGrid>
        <w:gridCol w:w="10454"/>
      </w:tblGrid>
      <w:tr>
        <w:trPr>
          <w:cantSplit/>
          <w:trHeight w:val="57" w:hRule="atLeast"/>
        </w:trPr>
        <w:tc>
          <w:tcPr>
            <w:tcW w:type="dxa" w:w="10454"/>
            <w:shd w:fill="E57200"/>
            <w:tcMar>
              <w:top w:w="0" w:type="dxa"/>
              <w:start w:w="0" w:type="dxa"/>
              <w:bottom w:w="0" w:type="dxa"/>
              <w:end w:w="0" w:type="dxa"/>
            </w:tcMar>
          </w:tcPr>
          <w:p/>
        </w:tc>
      </w:tr>
    </w:tbl>
    <w:p>
      <w:pPr>
        <w:pStyle w:val="Title"/>
        <w:spacing w:before="140" w:after="20"/>
      </w:pPr>
      <w:r>
        <w:t>Work Plan: 20% of Total Project</w:t>
      </w:r>
    </w:p>
    <w:p>
      <w:pPr>
        <w:jc w:val="left"/>
      </w:pPr>
      <w:r>
        <w:rPr>
          <w:rFonts w:ascii="Futura Demi" w:hAnsi="Futura Demi"/>
          <w:b/>
          <w:color w:val="232D4B"/>
          <w:sz w:val="17"/>
        </w:rPr>
        <w:t>Rural Planning and Economic Development | PLAC 5500-001 / LPPP 5559-001 | Fall 2026</w:t>
      </w:r>
    </w:p>
    <w:p>
      <w:pPr>
        <w:pStyle w:val="Subtitle"/>
      </w:pPr>
      <w:r>
        <w:t>Project outline and evidence plan</w:t>
      </w:r>
    </w:p>
    <w:tbl>
      <w:tblPr>
        <w:tblW w:type="auto" w:w="0"/>
        <w:jc w:val="center"/>
        <w:tblLayout w:type="fixed"/>
        <w:tblLook w:firstColumn="1" w:firstRow="1" w:lastColumn="0" w:lastRow="0" w:noHBand="0" w:noVBand="1" w:val="04A0"/>
      </w:tblPr>
      <w:tblGrid>
        <w:gridCol w:w="7416"/>
        <w:gridCol w:w="3024"/>
      </w:tblGrid>
      <w:tr>
        <w:tc>
          <w:tcPr>
            <w:tcW w:type="dxa" w:w="5227"/>
            <w:shd w:fill="E8EEF5"/>
            <w:tcMar>
              <w:top w:w="70" w:type="dxa"/>
              <w:start w:w="100" w:type="dxa"/>
              <w:bottom w:w="70" w:type="dxa"/>
              <w:end w:w="100" w:type="dxa"/>
            </w:tcMar>
          </w:tcPr>
          <w:p>
            <w:r>
              <w:rPr>
                <w:rFonts w:ascii="Futura Demi" w:hAnsi="Futura Demi"/>
                <w:b/>
                <w:color w:val="232D4B"/>
                <w:sz w:val="17"/>
              </w:rPr>
              <w:t>DUE: September 23, 2026, by 12:00 p.m. to Canvas</w:t>
            </w:r>
          </w:p>
        </w:tc>
        <w:tc>
          <w:tcPr>
            <w:tcW w:type="dxa" w:w="5227"/>
            <w:shd w:fill="E8EEF5"/>
            <w:tcMar>
              <w:top w:w="70" w:type="dxa"/>
              <w:start w:w="100" w:type="dxa"/>
              <w:bottom w:w="70" w:type="dxa"/>
              <w:end w:w="100" w:type="dxa"/>
            </w:tcMar>
          </w:tcPr>
          <w:p>
            <w:r>
              <w:rPr>
                <w:rFonts w:ascii="Futura Demi" w:hAnsi="Futura Demi"/>
                <w:b/>
                <w:color w:val="232D4B"/>
                <w:sz w:val="17"/>
              </w:rPr>
              <w:t>COURSE WEIGHT: 5%</w:t>
            </w:r>
          </w:p>
        </w:tc>
      </w:tr>
    </w:tbl>
    <w:p>
      <w:pPr>
        <w:pStyle w:val="Heading1"/>
      </w:pPr>
      <w:r>
        <w:t>Purpose</w:t>
      </w:r>
    </w:p>
    <w:p>
      <w:r>
        <w:t>Turn the team and client agreements into a credible plan for the first fifth of the community planning product.</w:t>
      </w:r>
    </w:p>
    <w:p>
      <w:pPr>
        <w:pStyle w:val="Heading1"/>
      </w:pPr>
      <w:r>
        <w:t>Required package</w:t>
      </w:r>
    </w:p>
    <w:p>
      <w:pPr>
        <w:ind w:left="173" w:hanging="173"/>
      </w:pPr>
      <w:r>
        <w:rPr>
          <w:rFonts w:ascii="Segoe UI Symbol" w:hAnsi="Segoe UI Symbol"/>
        </w:rPr>
        <w:t xml:space="preserve">□ </w:t>
      </w:r>
      <w:r>
        <w:t>Existing-document synthesis tied to the client question.</w:t>
      </w:r>
    </w:p>
    <w:p>
      <w:pPr>
        <w:ind w:left="173" w:hanging="173"/>
      </w:pPr>
      <w:r>
        <w:rPr>
          <w:rFonts w:ascii="Segoe UI Symbol" w:hAnsi="Segoe UI Symbol"/>
        </w:rPr>
        <w:t xml:space="preserve">□ </w:t>
      </w:r>
      <w:r>
        <w:t>Evidence-backed SWOT with assumptions and unknowns identified.</w:t>
      </w:r>
    </w:p>
    <w:p>
      <w:pPr>
        <w:ind w:left="173" w:hanging="173"/>
      </w:pPr>
      <w:r>
        <w:rPr>
          <w:rFonts w:ascii="Segoe UI Symbol" w:hAnsi="Segoe UI Symbol"/>
        </w:rPr>
        <w:t xml:space="preserve">□ </w:t>
      </w:r>
      <w:r>
        <w:t>Committed scope, aspirational scope, and out-of-scope items.</w:t>
      </w:r>
    </w:p>
    <w:p>
      <w:pPr>
        <w:ind w:left="173" w:hanging="173"/>
      </w:pPr>
      <w:r>
        <w:rPr>
          <w:rFonts w:ascii="Segoe UI Symbol" w:hAnsi="Segoe UI Symbol"/>
        </w:rPr>
        <w:t xml:space="preserve">□ </w:t>
      </w:r>
      <w:r>
        <w:t>Methodology, source/data plan, field plan, and review needs.</w:t>
      </w:r>
    </w:p>
    <w:p>
      <w:pPr>
        <w:ind w:left="173" w:hanging="173"/>
      </w:pPr>
      <w:r>
        <w:rPr>
          <w:rFonts w:ascii="Segoe UI Symbol" w:hAnsi="Segoe UI Symbol"/>
        </w:rPr>
        <w:t xml:space="preserve">□ </w:t>
      </w:r>
      <w:r>
        <w:t>Schedule, responsibilities, risks, and required skills or assets.</w:t>
      </w:r>
    </w:p>
    <w:p>
      <w:pPr>
        <w:ind w:left="173" w:hanging="173"/>
      </w:pPr>
      <w:r>
        <w:rPr>
          <w:rFonts w:ascii="Segoe UI Symbol" w:hAnsi="Segoe UI Symbol"/>
        </w:rPr>
        <w:t xml:space="preserve">□ </w:t>
      </w:r>
      <w:r>
        <w:t>Draft visual system and early place-reading evidence.</w:t>
      </w:r>
    </w:p>
    <w:p>
      <w:pPr>
        <w:ind w:left="173" w:hanging="173"/>
      </w:pPr>
      <w:r>
        <w:rPr>
          <w:rFonts w:ascii="Segoe UI Symbol" w:hAnsi="Segoe UI Symbol"/>
        </w:rPr>
        <w:t xml:space="preserve">□ </w:t>
      </w:r>
      <w:r>
        <w:t>Known limitations and client/public-sharing permissions.</w:t>
      </w:r>
    </w:p>
    <w:p>
      <w:pPr>
        <w:pStyle w:val="Heading1"/>
      </w:pPr>
      <w:r>
        <w:t>Build the submission</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Project statement: What is the client question, intended user, and promised product?</w:t>
            </w:r>
          </w:p>
        </w:tc>
      </w:tr>
      <w:tr>
        <w:trPr>
          <w:cantSplit/>
          <w:trHeight w:val="1080"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Existing record: What do the existing plans, codes, reports, maps, and conversations establish?</w:t>
            </w:r>
          </w:p>
        </w:tc>
      </w:tr>
      <w:tr>
        <w:trPr>
          <w:cantSplit/>
          <w:trHeight w:val="1296"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Diagnosis: What are the priority SWOT findings, evidence, and uncertainties?</w:t>
            </w:r>
          </w:p>
        </w:tc>
      </w:tr>
      <w:tr>
        <w:trPr>
          <w:cantSplit/>
          <w:trHeight w:val="1296"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Method: What will the team analyze, map, design, draft, test, or verify? Why does that method fit?</w:t>
            </w:r>
          </w:p>
        </w:tc>
      </w:tr>
      <w:tr>
        <w:trPr>
          <w:cantSplit/>
          <w:trHeight w:val="1296"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Visual direction: Record theme, color palette, type hierarchy, voice, photography, graphics, and accessibility approach.</w:t>
            </w:r>
          </w:p>
        </w:tc>
      </w:tr>
      <w:tr>
        <w:trPr>
          <w:cantSplit/>
          <w:trHeight w:val="1296"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Schedule and responsibility: Name workstreams, owners, dependencies, review points, and the next three commitments.</w:t>
            </w:r>
          </w:p>
        </w:tc>
      </w:tr>
      <w:tr>
        <w:trPr>
          <w:cantSplit/>
          <w:trHeight w:val="1296" w:hRule="atLeast"/>
        </w:trPr>
        <w:tc>
          <w:tcPr>
            <w:tcW w:type="dxa" w:w="10454"/>
            <w:shd w:fill="FFFFFF"/>
            <w:tcMar>
              <w:top w:w="80" w:type="dxa"/>
              <w:start w:w="100" w:type="dxa"/>
              <w:bottom w:w="80" w:type="dxa"/>
              <w:end w:w="100" w:type="dxa"/>
            </w:tcMar>
          </w:tcPr>
          <w:p>
            <w:r/>
          </w:p>
        </w:tc>
      </w:tr>
    </w:tbl>
    <w:p>
      <w:pPr>
        <w:pStyle w:val="Heading1"/>
      </w:pPr>
      <w:r>
        <w:t>Before submission</w:t>
      </w:r>
    </w:p>
    <w:p>
      <w:pPr>
        <w:ind w:left="173" w:hanging="173"/>
      </w:pPr>
      <w:r>
        <w:rPr>
          <w:rFonts w:ascii="Segoe UI Symbol" w:hAnsi="Segoe UI Symbol"/>
        </w:rPr>
        <w:t xml:space="preserve">□ </w:t>
      </w:r>
      <w:r>
        <w:t>The promised scope is achievable in the semester and has an acceptance test.</w:t>
      </w:r>
    </w:p>
    <w:p>
      <w:pPr>
        <w:ind w:left="173" w:hanging="173"/>
      </w:pPr>
      <w:r>
        <w:rPr>
          <w:rFonts w:ascii="Segoe UI Symbol" w:hAnsi="Segoe UI Symbol"/>
        </w:rPr>
        <w:t xml:space="preserve">□ </w:t>
      </w:r>
      <w:r>
        <w:t>Source evidence, observation, inference, assumption, and unknown are not blended.</w:t>
      </w:r>
    </w:p>
    <w:p>
      <w:pPr>
        <w:ind w:left="173" w:hanging="173"/>
      </w:pPr>
      <w:r>
        <w:rPr>
          <w:rFonts w:ascii="Segoe UI Symbol" w:hAnsi="Segoe UI Symbol"/>
        </w:rPr>
        <w:t xml:space="preserve">□ </w:t>
      </w:r>
      <w:r>
        <w:t>Every map, photo, table, and graphic has a source or provenance plan.</w:t>
      </w:r>
    </w:p>
    <w:p>
      <w:pPr>
        <w:ind w:left="173" w:hanging="173"/>
      </w:pPr>
      <w:r>
        <w:rPr>
          <w:rFonts w:ascii="Segoe UI Symbol" w:hAnsi="Segoe UI Symbol"/>
        </w:rPr>
        <w:t xml:space="preserve">□ </w:t>
      </w:r>
      <w:r>
        <w:t>The client reviewer and public-sharing boundary are recorded.</w:t>
      </w:r>
    </w:p>
    <w:p>
      <w:pPr>
        <w:ind w:left="173" w:hanging="173"/>
      </w:pPr>
      <w:r>
        <w:rPr>
          <w:rFonts w:ascii="Segoe UI Symbol" w:hAnsi="Segoe UI Symbol"/>
        </w:rPr>
        <w:t xml:space="preserve">□ </w:t>
      </w:r>
      <w:r>
        <w:t>The Gantt chart and source ledger are current.</w:t>
      </w:r>
    </w:p>
    <w:tbl>
      <w:tblPr>
        <w:tblW w:type="auto" w:w="0"/>
        <w:jc w:val="center"/>
        <w:tblLook w:firstColumn="1" w:firstRow="1" w:lastColumn="0" w:lastRow="0" w:noHBand="0" w:noVBand="1" w:val="04A0"/>
      </w:tblPr>
      <w:tblGrid>
        <w:gridCol w:w="10454"/>
      </w:tblGrid>
      <w:tr>
        <w:tc>
          <w:tcPr>
            <w:tcW w:type="dxa" w:w="10454"/>
            <w:shd w:fill="E8EEF5"/>
            <w:tcMar>
              <w:top w:w="100" w:type="dxa"/>
              <w:start w:w="140" w:type="dxa"/>
              <w:bottom w:w="100" w:type="dxa"/>
              <w:end w:w="140" w:type="dxa"/>
            </w:tcMar>
          </w:tcPr>
          <w:p>
            <w:r>
              <w:rPr>
                <w:rFonts w:ascii="Futura Demi" w:hAnsi="Futura Demi"/>
                <w:b/>
                <w:color w:val="232D4B"/>
              </w:rPr>
              <w:t xml:space="preserve">Submission: </w:t>
            </w:r>
            <w:r>
              <w:t>One member of the team submits the package to Canvas by the listed deadline. Every student remains responsible for the work, sources, disclosed material AI assistance, and any required contribution record.</w:t>
            </w:r>
          </w:p>
        </w:tc>
      </w:tr>
    </w:tbl>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Futura Book" w:hAnsi="Futura Book"/>
        <w:color w:val="808080"/>
        <w:sz w:val="14"/>
      </w:rPr>
      <w:t xml:space="preserve">Rural Planning and Economic Development | PLAC 5500-001 / LPPP 5559-001 | Fall 2026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Futura Book" w:hAnsi="Futura Book"/>
      <w:color w:val="1F1F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Futura Demi" w:hAnsi="Futura Demi"/>
      <w:b/>
      <w:bCs/>
      <w:color w:val="232D4B"/>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Futura Demi" w:hAnsi="Futura Demi"/>
      <w:b/>
      <w:bCs/>
      <w:color w:val="E57200"/>
      <w:sz w:val="24"/>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Futura Demi" w:hAnsi="Futura Demi"/>
      <w:b/>
      <w:bCs/>
      <w:color w:val="232D4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120"/>
      <w:contextualSpacing/>
    </w:pPr>
    <w:rPr>
      <w:rFonts w:asciiTheme="majorHAnsi" w:eastAsiaTheme="majorEastAsia" w:hAnsiTheme="majorHAnsi" w:cstheme="majorBidi" w:ascii="Futura Demi" w:hAnsi="Futura Demi"/>
      <w:b/>
      <w:color w:val="232D4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20" w:after="60"/>
    </w:pPr>
    <w:rPr>
      <w:rFonts w:asciiTheme="majorHAnsi" w:eastAsiaTheme="majorEastAsia" w:hAnsiTheme="majorHAnsi" w:cstheme="majorBidi" w:ascii="Futura Demi" w:hAnsi="Futura Demi"/>
      <w:b/>
      <w:i/>
      <w:iCs/>
      <w:color w:val="80808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Plan: 20% of Total Project</dc:title>
  <dc:subject>Rural Planning and Economic Development</dc:subject>
  <dc:creator>Tyler Hinkle, AICP</dc:creator>
  <cp:keywords>rural planning; economic development; course template; UVA</cp:keywords>
  <dc:description>Built from the Fall 2026 syllabus and current course assignment sources.</dc:description>
  <cp:lastModifiedBy/>
  <cp:revision>1</cp:revision>
  <dcterms:created xsi:type="dcterms:W3CDTF">2013-12-23T23:15:00Z</dcterms:created>
  <dcterms:modified xsi:type="dcterms:W3CDTF">2013-12-23T23:15:00Z</dcterms:modified>
  <cp:category/>
</cp:coreProperties>
</file>