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Working Introduction and Document Architecture: 40%</w:t>
      </w:r>
    </w:p>
    <w:p>
      <w:pPr>
        <w:jc w:val="left"/>
      </w:pPr>
      <w:r>
        <w:rPr>
          <w:rFonts w:ascii="Futura Demi" w:hAnsi="Futura Demi"/>
          <w:b/>
          <w:color w:val="232D4B"/>
          <w:sz w:val="17"/>
        </w:rPr>
        <w:t>Rural Planning and Economic Development | PLAC 5500-001 / LPPP 5559-001 | Fall 2026</w:t>
      </w:r>
    </w:p>
    <w:p>
      <w:pPr>
        <w:pStyle w:val="Subtitle"/>
      </w:pPr>
      <w:r>
        <w:t>A design and evidence skeleton for the full product</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October 7, 2026, by 12:00 p.m. to Canvas</w:t>
            </w:r>
          </w:p>
        </w:tc>
        <w:tc>
          <w:tcPr>
            <w:tcW w:type="dxa" w:w="5227"/>
            <w:shd w:fill="E8EEF5"/>
            <w:tcMar>
              <w:top w:w="70" w:type="dxa"/>
              <w:start w:w="100" w:type="dxa"/>
              <w:bottom w:w="70" w:type="dxa"/>
              <w:end w:w="100" w:type="dxa"/>
            </w:tcMar>
          </w:tcPr>
          <w:p>
            <w:r>
              <w:rPr>
                <w:rFonts w:ascii="Futura Demi" w:hAnsi="Futura Demi"/>
                <w:b/>
                <w:color w:val="232D4B"/>
                <w:sz w:val="17"/>
              </w:rPr>
              <w:t>COURSE WEIGHT: 10%</w:t>
            </w:r>
          </w:p>
        </w:tc>
      </w:tr>
    </w:tbl>
    <w:p>
      <w:pPr>
        <w:pStyle w:val="Heading1"/>
      </w:pPr>
      <w:r>
        <w:t>Purpose</w:t>
      </w:r>
    </w:p>
    <w:p>
      <w:r>
        <w:t>Show that the team can turn its Work Plan into a defensible diagnosis and a buildable product structure.</w:t>
      </w:r>
    </w:p>
    <w:p>
      <w:pPr>
        <w:pStyle w:val="Heading1"/>
      </w:pPr>
      <w:r>
        <w:t>Required package</w:t>
      </w:r>
    </w:p>
    <w:p>
      <w:pPr>
        <w:ind w:left="173" w:hanging="173"/>
      </w:pPr>
      <w:r>
        <w:rPr>
          <w:rFonts w:ascii="Segoe UI Symbol" w:hAnsi="Segoe UI Symbol"/>
        </w:rPr>
        <w:t xml:space="preserve">□ </w:t>
      </w:r>
      <w:r>
        <w:t>Working introduction or equivalent opening narrative.</w:t>
      </w:r>
    </w:p>
    <w:p>
      <w:pPr>
        <w:ind w:left="173" w:hanging="173"/>
      </w:pPr>
      <w:r>
        <w:rPr>
          <w:rFonts w:ascii="Segoe UI Symbol" w:hAnsi="Segoe UI Symbol"/>
        </w:rPr>
        <w:t xml:space="preserve">□ </w:t>
      </w:r>
      <w:r>
        <w:t>Approved or revised document architecture.</w:t>
      </w:r>
    </w:p>
    <w:p>
      <w:pPr>
        <w:ind w:left="173" w:hanging="173"/>
      </w:pPr>
      <w:r>
        <w:rPr>
          <w:rFonts w:ascii="Segoe UI Symbol" w:hAnsi="Segoe UI Symbol"/>
        </w:rPr>
        <w:t xml:space="preserve">□ </w:t>
      </w:r>
      <w:r>
        <w:t>Existing-conditions and opportunity diagnosis.</w:t>
      </w:r>
    </w:p>
    <w:p>
      <w:pPr>
        <w:ind w:left="173" w:hanging="173"/>
      </w:pPr>
      <w:r>
        <w:rPr>
          <w:rFonts w:ascii="Segoe UI Symbol" w:hAnsi="Segoe UI Symbol"/>
        </w:rPr>
        <w:t xml:space="preserve">□ </w:t>
      </w:r>
      <w:r>
        <w:t>Relevant maps, tables, field observations, source-backed draft graphics, or equivalent evidence.</w:t>
      </w:r>
    </w:p>
    <w:p>
      <w:pPr>
        <w:ind w:left="173" w:hanging="173"/>
      </w:pPr>
      <w:r>
        <w:rPr>
          <w:rFonts w:ascii="Segoe UI Symbol" w:hAnsi="Segoe UI Symbol"/>
        </w:rPr>
        <w:t xml:space="preserve">□ </w:t>
      </w:r>
      <w:r>
        <w:t>Skills, data, permissions, and assets still needed, with a plan to obtain or verify them.</w:t>
      </w:r>
    </w:p>
    <w:p>
      <w:pPr>
        <w:ind w:left="173" w:hanging="173"/>
      </w:pPr>
      <w:r>
        <w:rPr>
          <w:rFonts w:ascii="Segoe UI Symbol" w:hAnsi="Segoe UI Symbol"/>
        </w:rPr>
        <w:t xml:space="preserve">□ </w:t>
      </w:r>
      <w:r>
        <w:t>Outline connecting evidence to alternatives, recommendations, and implementation.</w:t>
      </w:r>
    </w:p>
    <w:p>
      <w:pPr>
        <w:ind w:left="173" w:hanging="173"/>
      </w:pPr>
      <w:r>
        <w:rPr>
          <w:rFonts w:ascii="Segoe UI Symbol" w:hAnsi="Segoe UI Symbol"/>
        </w:rPr>
        <w:t xml:space="preserve">□ </w:t>
      </w:r>
      <w:r>
        <w:t>Current source/assumptions and individual contribution records.</w:t>
      </w:r>
    </w:p>
    <w:p>
      <w:pPr>
        <w:pStyle w:val="Heading1"/>
      </w:pPr>
      <w:r>
        <w:t>Build the submission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Opening narrative: Place, issue, why it matters, intended audience, and how the product will help.</w:t>
            </w:r>
          </w:p>
        </w:tc>
      </w:tr>
      <w:tr>
        <w:trPr>
          <w:cantSplit/>
          <w:trHeight w:val="1224"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Document architecture: List chapters, sections, maps, tables, policy/design elements, recommendations, and implementation material in order.</w:t>
            </w:r>
          </w:p>
        </w:tc>
      </w:tr>
      <w:tr>
        <w:trPr>
          <w:cantSplit/>
          <w:trHeight w:val="1655"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Diagnosis: Name the most important conditions, opportunities, constraints, and public concerns, with evidence.</w:t>
            </w:r>
          </w:p>
        </w:tc>
      </w:tr>
      <w:tr>
        <w:trPr>
          <w:cantSplit/>
          <w:trHeight w:val="136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Visual system: Record page grid, type hierarchy, colors, image treatment, map standards, chart standards, and voice.</w:t>
            </w:r>
          </w:p>
        </w:tc>
      </w:tr>
      <w:tr>
        <w:trPr>
          <w:cantSplit/>
          <w:trHeight w:val="136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Gap plan: List missing skills, data, permissions, assets, and the owner and date for each response.</w:t>
            </w:r>
          </w:p>
        </w:tc>
      </w:tr>
      <w:tr>
        <w:trPr>
          <w:cantSplit/>
          <w:trHeight w:val="1152" w:hRule="atLeast"/>
        </w:trPr>
        <w:tc>
          <w:tcPr>
            <w:tcW w:type="dxa" w:w="10454"/>
            <w:shd w:fill="FFFFFF"/>
            <w:tcMar>
              <w:top w:w="80" w:type="dxa"/>
              <w:start w:w="100" w:type="dxa"/>
              <w:bottom w:w="80" w:type="dxa"/>
              <w:end w:w="100" w:type="dxa"/>
            </w:tcMar>
          </w:tcPr>
          <w:p>
            <w:r/>
          </w:p>
        </w:tc>
      </w:tr>
    </w:tbl>
    <w:p>
      <w:pPr>
        <w:pStyle w:val="Heading1"/>
      </w:pPr>
      <w:r>
        <w:t>Before submission</w:t>
      </w:r>
    </w:p>
    <w:p>
      <w:pPr>
        <w:ind w:left="173" w:hanging="173"/>
      </w:pPr>
      <w:r>
        <w:rPr>
          <w:rFonts w:ascii="Segoe UI Symbol" w:hAnsi="Segoe UI Symbol"/>
        </w:rPr>
        <w:t xml:space="preserve">□ </w:t>
      </w:r>
      <w:r>
        <w:t>The introduction frames a decision rather than merely describing the community.</w:t>
      </w:r>
    </w:p>
    <w:p>
      <w:pPr>
        <w:ind w:left="173" w:hanging="173"/>
      </w:pPr>
      <w:r>
        <w:rPr>
          <w:rFonts w:ascii="Segoe UI Symbol" w:hAnsi="Segoe UI Symbol"/>
        </w:rPr>
        <w:t xml:space="preserve">□ </w:t>
      </w:r>
      <w:r>
        <w:t>The architecture shows how evidence leads to choices and action.</w:t>
      </w:r>
    </w:p>
    <w:p>
      <w:pPr>
        <w:ind w:left="173" w:hanging="173"/>
      </w:pPr>
      <w:r>
        <w:rPr>
          <w:rFonts w:ascii="Segoe UI Symbol" w:hAnsi="Segoe UI Symbol"/>
        </w:rPr>
        <w:t xml:space="preserve">□ </w:t>
      </w:r>
      <w:r>
        <w:t>No missing value has been silently converted to zero or absence.</w:t>
      </w:r>
    </w:p>
    <w:p>
      <w:pPr>
        <w:ind w:left="173" w:hanging="173"/>
      </w:pPr>
      <w:r>
        <w:rPr>
          <w:rFonts w:ascii="Segoe UI Symbol" w:hAnsi="Segoe UI Symbol"/>
        </w:rPr>
        <w:t xml:space="preserve">□ </w:t>
      </w:r>
      <w:r>
        <w:t>Draft visuals are readable, sourced, undistorted, and accessible.</w:t>
      </w:r>
    </w:p>
    <w:p>
      <w:pPr>
        <w:ind w:left="173" w:hanging="173"/>
      </w:pPr>
      <w:r>
        <w:rPr>
          <w:rFonts w:ascii="Segoe UI Symbol" w:hAnsi="Segoe UI Symbol"/>
        </w:rPr>
        <w:t xml:space="preserve">□ </w:t>
      </w:r>
      <w:r>
        <w:t>Remaining needs have owners and dates.</w:t>
      </w:r>
    </w:p>
    <w:tbl>
      <w:tblPr>
        <w:tblW w:type="auto" w:w="0"/>
        <w:jc w:val="center"/>
        <w:tblLook w:firstColumn="1" w:firstRow="1" w:lastColumn="0" w:lastRow="0" w:noHBand="0" w:noVBand="1" w:val="04A0"/>
      </w:tblPr>
      <w:tblGrid>
        <w:gridCol w:w="10454"/>
      </w:tblGrid>
      <w:tr>
        <w:tc>
          <w:tcPr>
            <w:tcW w:type="dxa" w:w="10454"/>
            <w:shd w:fill="E8EEF5"/>
            <w:tcMar>
              <w:top w:w="100" w:type="dxa"/>
              <w:start w:w="140" w:type="dxa"/>
              <w:bottom w:w="100" w:type="dxa"/>
              <w:end w:w="140" w:type="dxa"/>
            </w:tcMar>
          </w:tcPr>
          <w:p>
            <w:r>
              <w:rPr>
                <w:rFonts w:ascii="Futura Demi" w:hAnsi="Futura Demi"/>
                <w:b/>
                <w:color w:val="232D4B"/>
              </w:rPr>
              <w:t xml:space="preserve">Submission: </w:t>
            </w:r>
            <w:r>
              <w:t>One member of the team submits the package to Canvas by the listed deadline. Every student remains responsible for the work, sources, disclosed material AI assistance, and any required contribution record.</w:t>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Introduction and Document Architecture: 40%</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