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552"/>
        <w:gridCol w:w="3816"/>
      </w:tblGrid>
      <w:tr>
        <w:tc>
          <w:tcPr>
            <w:tcW w:type="dxa" w:w="5227"/>
            <w:vAlign w:val="center"/>
            <w:tcMar>
              <w:top w:w="0" w:type="dxa"/>
              <w:start w:w="0" w:type="dxa"/>
              <w:bottom w:w="0" w:type="dxa"/>
              <w:end w:w="0" w:type="dxa"/>
            </w:tcMar>
          </w:tcPr>
          <w:p>
            <w:pPr>
              <w:jc w:val="left"/>
            </w:pPr>
            <w:r>
              <w:drawing>
                <wp:inline xmlns:a="http://schemas.openxmlformats.org/drawingml/2006/main" xmlns:pic="http://schemas.openxmlformats.org/drawingml/2006/picture">
                  <wp:extent cx="2423160" cy="419064"/>
                  <wp:docPr id="1" name="Picture 1" descr="University of Virginia Frank Batten School mark"/>
                  <wp:cNvGraphicFramePr>
                    <a:graphicFrameLocks noChangeAspect="1"/>
                  </wp:cNvGraphicFramePr>
                  <a:graphic>
                    <a:graphicData uri="http://schemas.openxmlformats.org/drawingml/2006/picture">
                      <pic:pic>
                        <pic:nvPicPr>
                          <pic:cNvPr id="0" name="syllabus_brand_mark_1.png"/>
                          <pic:cNvPicPr/>
                        </pic:nvPicPr>
                        <pic:blipFill>
                          <a:blip r:embed="rId10"/>
                          <a:stretch>
                            <a:fillRect/>
                          </a:stretch>
                        </pic:blipFill>
                        <pic:spPr>
                          <a:xfrm>
                            <a:off x="0" y="0"/>
                            <a:ext cx="2423160" cy="419064"/>
                          </a:xfrm>
                          <a:prstGeom prst="rect"/>
                        </pic:spPr>
                      </pic:pic>
                    </a:graphicData>
                  </a:graphic>
                </wp:inline>
              </w:drawing>
            </w:r>
          </w:p>
        </w:tc>
        <w:tc>
          <w:tcPr>
            <w:tcW w:type="dxa" w:w="5227"/>
            <w:vAlign w:val="center"/>
            <w:tcMar>
              <w:top w:w="0" w:type="dxa"/>
              <w:start w:w="0" w:type="dxa"/>
              <w:bottom w:w="0" w:type="dxa"/>
              <w:end w:w="0" w:type="dxa"/>
            </w:tcMar>
          </w:tcPr>
          <w:p>
            <w:pPr>
              <w:jc w:val="right"/>
            </w:pPr>
            <w:r>
              <w:drawing>
                <wp:inline xmlns:a="http://schemas.openxmlformats.org/drawingml/2006/main" xmlns:pic="http://schemas.openxmlformats.org/drawingml/2006/picture">
                  <wp:extent cx="1554480" cy="372502"/>
                  <wp:docPr id="2" name="Picture 2" descr="University of Virginia School of Architecture mark"/>
                  <wp:cNvGraphicFramePr>
                    <a:graphicFrameLocks noChangeAspect="1"/>
                  </wp:cNvGraphicFramePr>
                  <a:graphic>
                    <a:graphicData uri="http://schemas.openxmlformats.org/drawingml/2006/picture">
                      <pic:pic>
                        <pic:nvPicPr>
                          <pic:cNvPr id="0" name="syllabus_brand_mark_2.png"/>
                          <pic:cNvPicPr/>
                        </pic:nvPicPr>
                        <pic:blipFill>
                          <a:blip r:embed="rId11"/>
                          <a:stretch>
                            <a:fillRect/>
                          </a:stretch>
                        </pic:blipFill>
                        <pic:spPr>
                          <a:xfrm>
                            <a:off x="0" y="0"/>
                            <a:ext cx="1554480" cy="372502"/>
                          </a:xfrm>
                          <a:prstGeom prst="rect"/>
                        </pic:spPr>
                      </pic:pic>
                    </a:graphicData>
                  </a:graphic>
                </wp:inline>
              </w:drawing>
            </w:r>
          </w:p>
        </w:tc>
      </w:tr>
    </w:tbl>
    <w:tbl>
      <w:tblPr>
        <w:tblW w:type="auto" w:w="0"/>
        <w:jc w:val="center"/>
        <w:tblLook w:firstColumn="1" w:firstRow="1" w:lastColumn="0" w:lastRow="0" w:noHBand="0" w:noVBand="1" w:val="04A0"/>
      </w:tblPr>
      <w:tblGrid>
        <w:gridCol w:w="10454"/>
      </w:tblGrid>
      <w:tr>
        <w:trPr>
          <w:cantSplit/>
          <w:trHeight w:val="57" w:hRule="atLeast"/>
        </w:trPr>
        <w:tc>
          <w:tcPr>
            <w:tcW w:type="dxa" w:w="10454"/>
            <w:shd w:fill="E57200"/>
            <w:tcMar>
              <w:top w:w="0" w:type="dxa"/>
              <w:start w:w="0" w:type="dxa"/>
              <w:bottom w:w="0" w:type="dxa"/>
              <w:end w:w="0" w:type="dxa"/>
            </w:tcMar>
          </w:tcPr>
          <w:p/>
        </w:tc>
      </w:tr>
    </w:tbl>
    <w:p>
      <w:pPr>
        <w:pStyle w:val="Title"/>
        <w:spacing w:before="140" w:after="20"/>
      </w:pPr>
      <w:r>
        <w:t>First Substantive Draft: 60%</w:t>
      </w:r>
    </w:p>
    <w:p>
      <w:pPr>
        <w:jc w:val="left"/>
      </w:pPr>
      <w:r>
        <w:rPr>
          <w:rFonts w:ascii="Futura Demi" w:hAnsi="Futura Demi"/>
          <w:b/>
          <w:color w:val="232D4B"/>
          <w:sz w:val="17"/>
        </w:rPr>
        <w:t>Rural Planning and Economic Development | PLAC 5500-001 / LPPP 5559-001 | Fall 2026</w:t>
      </w:r>
    </w:p>
    <w:p>
      <w:pPr>
        <w:pStyle w:val="Subtitle"/>
      </w:pPr>
      <w:r>
        <w:t>Draft requirements and revision plan</w:t>
      </w:r>
    </w:p>
    <w:tbl>
      <w:tblPr>
        <w:tblW w:type="auto" w:w="0"/>
        <w:jc w:val="center"/>
        <w:tblLayout w:type="fixed"/>
        <w:tblLook w:firstColumn="1" w:firstRow="1" w:lastColumn="0" w:lastRow="0" w:noHBand="0" w:noVBand="1" w:val="04A0"/>
      </w:tblPr>
      <w:tblGrid>
        <w:gridCol w:w="7416"/>
        <w:gridCol w:w="3024"/>
      </w:tblGrid>
      <w:tr>
        <w:tc>
          <w:tcPr>
            <w:tcW w:type="dxa" w:w="5227"/>
            <w:shd w:fill="E8EEF5"/>
            <w:tcMar>
              <w:top w:w="70" w:type="dxa"/>
              <w:start w:w="100" w:type="dxa"/>
              <w:bottom w:w="70" w:type="dxa"/>
              <w:end w:w="100" w:type="dxa"/>
            </w:tcMar>
          </w:tcPr>
          <w:p>
            <w:r>
              <w:rPr>
                <w:rFonts w:ascii="Futura Demi" w:hAnsi="Futura Demi"/>
                <w:b/>
                <w:color w:val="232D4B"/>
                <w:sz w:val="17"/>
              </w:rPr>
              <w:t>DUE: October 21, 2026, by 12:00 p.m. to Canvas</w:t>
            </w:r>
          </w:p>
        </w:tc>
        <w:tc>
          <w:tcPr>
            <w:tcW w:type="dxa" w:w="5227"/>
            <w:shd w:fill="E8EEF5"/>
            <w:tcMar>
              <w:top w:w="70" w:type="dxa"/>
              <w:start w:w="100" w:type="dxa"/>
              <w:bottom w:w="70" w:type="dxa"/>
              <w:end w:w="100" w:type="dxa"/>
            </w:tcMar>
          </w:tcPr>
          <w:p>
            <w:r>
              <w:rPr>
                <w:rFonts w:ascii="Futura Demi" w:hAnsi="Futura Demi"/>
                <w:b/>
                <w:color w:val="232D4B"/>
                <w:sz w:val="17"/>
              </w:rPr>
              <w:t>COURSE WEIGHT: 10%</w:t>
            </w:r>
          </w:p>
        </w:tc>
      </w:tr>
    </w:tbl>
    <w:p>
      <w:pPr>
        <w:pStyle w:val="Heading1"/>
      </w:pPr>
      <w:r>
        <w:t>Purpose</w:t>
      </w:r>
    </w:p>
    <w:p>
      <w:r>
        <w:t>Put the substantive argument on the table. The draft may still be text-first and visually rough, but it must expose the reasoning for review.</w:t>
      </w:r>
    </w:p>
    <w:p>
      <w:pPr>
        <w:pStyle w:val="Heading1"/>
      </w:pPr>
      <w:r>
        <w:t>Required package</w:t>
      </w:r>
    </w:p>
    <w:p>
      <w:pPr>
        <w:ind w:left="173" w:hanging="173"/>
      </w:pPr>
      <w:r>
        <w:rPr>
          <w:rFonts w:ascii="Segoe UI Symbol" w:hAnsi="Segoe UI Symbol"/>
        </w:rPr>
        <w:t xml:space="preserve">□ </w:t>
      </w:r>
      <w:r>
        <w:t>Most narrative or equivalent substantive content.</w:t>
      </w:r>
    </w:p>
    <w:p>
      <w:pPr>
        <w:ind w:left="173" w:hanging="173"/>
      </w:pPr>
      <w:r>
        <w:rPr>
          <w:rFonts w:ascii="Segoe UI Symbol" w:hAnsi="Segoe UI Symbol"/>
        </w:rPr>
        <w:t xml:space="preserve">□ </w:t>
      </w:r>
      <w:r>
        <w:t>Credible alternatives, tradeoffs, and preferred direction.</w:t>
      </w:r>
    </w:p>
    <w:p>
      <w:pPr>
        <w:ind w:left="173" w:hanging="173"/>
      </w:pPr>
      <w:r>
        <w:rPr>
          <w:rFonts w:ascii="Segoe UI Symbol" w:hAnsi="Segoe UI Symbol"/>
        </w:rPr>
        <w:t xml:space="preserve">□ </w:t>
      </w:r>
      <w:r>
        <w:t>An appropriate economic-development or feasibility screen.</w:t>
      </w:r>
    </w:p>
    <w:p>
      <w:pPr>
        <w:ind w:left="173" w:hanging="173"/>
      </w:pPr>
      <w:r>
        <w:rPr>
          <w:rFonts w:ascii="Segoe UI Symbol" w:hAnsi="Segoe UI Symbol"/>
        </w:rPr>
        <w:t xml:space="preserve">□ </w:t>
      </w:r>
      <w:r>
        <w:t>Draft maps, graphics, tables, code language, diagrams, or engagement materials as relevant.</w:t>
      </w:r>
    </w:p>
    <w:p>
      <w:pPr>
        <w:ind w:left="173" w:hanging="173"/>
      </w:pPr>
      <w:r>
        <w:rPr>
          <w:rFonts w:ascii="Segoe UI Symbol" w:hAnsi="Segoe UI Symbol"/>
        </w:rPr>
        <w:t xml:space="preserve">□ </w:t>
      </w:r>
      <w:r>
        <w:t>Current source and assumptions records.</w:t>
      </w:r>
    </w:p>
    <w:p>
      <w:pPr>
        <w:ind w:left="173" w:hanging="173"/>
      </w:pPr>
      <w:r>
        <w:rPr>
          <w:rFonts w:ascii="Segoe UI Symbol" w:hAnsi="Segoe UI Symbol"/>
        </w:rPr>
        <w:t xml:space="preserve">□ </w:t>
      </w:r>
      <w:r>
        <w:t>Revision log showing missing evidence, unresolved choices, and remaining graphics.</w:t>
      </w:r>
    </w:p>
    <w:p>
      <w:pPr>
        <w:pStyle w:val="Heading1"/>
      </w:pPr>
      <w:r>
        <w:t>Build the submission</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Substantive argument: State the diagnosis, what it means, and the sequence of decisions or actions.</w:t>
            </w:r>
          </w:p>
        </w:tc>
      </w:tr>
      <w:tr>
        <w:trPr>
          <w:cantSplit/>
          <w:trHeight w:val="1296"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Alternatives and tradeoffs: What options were considered? What differs in benefit, cost, risk, timing, capacity, or equity?</w:t>
            </w:r>
          </w:p>
        </w:tc>
      </w:tr>
      <w:tr>
        <w:trPr>
          <w:cantSplit/>
          <w:trHeight w:val="1440"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Economic or feasibility reasoning: Which transparent screen fits this project, and what can it establish or not establish?</w:t>
            </w:r>
          </w:p>
        </w:tc>
      </w:tr>
      <w:tr>
        <w:trPr>
          <w:cantSplit/>
          <w:trHeight w:val="1296"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Draft graphics: List each needed map, figure, table, code excerpt, diagram, or engagement product; mark complete, draft, or missing.</w:t>
            </w:r>
          </w:p>
        </w:tc>
      </w:tr>
      <w:tr>
        <w:trPr>
          <w:cantSplit/>
          <w:trHeight w:val="1440"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Revision plan: What evidence, choices, reviews, and graphics remain, and who owns each action?</w:t>
            </w:r>
          </w:p>
        </w:tc>
      </w:tr>
      <w:tr>
        <w:trPr>
          <w:cantSplit/>
          <w:trHeight w:val="1296" w:hRule="atLeast"/>
        </w:trPr>
        <w:tc>
          <w:tcPr>
            <w:tcW w:type="dxa" w:w="10454"/>
            <w:shd w:fill="FFFFFF"/>
            <w:tcMar>
              <w:top w:w="80" w:type="dxa"/>
              <w:start w:w="100" w:type="dxa"/>
              <w:bottom w:w="80" w:type="dxa"/>
              <w:end w:w="100" w:type="dxa"/>
            </w:tcMar>
          </w:tcPr>
          <w:p>
            <w:r/>
          </w:p>
        </w:tc>
      </w:tr>
    </w:tbl>
    <w:p>
      <w:pPr>
        <w:pStyle w:val="Heading1"/>
      </w:pPr>
      <w:r>
        <w:t>Before submission</w:t>
      </w:r>
    </w:p>
    <w:p>
      <w:pPr>
        <w:ind w:left="173" w:hanging="173"/>
      </w:pPr>
      <w:r>
        <w:rPr>
          <w:rFonts w:ascii="Segoe UI Symbol" w:hAnsi="Segoe UI Symbol"/>
        </w:rPr>
        <w:t xml:space="preserve">□ </w:t>
      </w:r>
      <w:r>
        <w:t>The preferred direction follows from evidence and comparison, not taste alone.</w:t>
      </w:r>
    </w:p>
    <w:p>
      <w:pPr>
        <w:ind w:left="173" w:hanging="173"/>
      </w:pPr>
      <w:r>
        <w:rPr>
          <w:rFonts w:ascii="Segoe UI Symbol" w:hAnsi="Segoe UI Symbol"/>
        </w:rPr>
        <w:t xml:space="preserve">□ </w:t>
      </w:r>
      <w:r>
        <w:t>Alternatives are genuinely comparable and include a plausible counterargument or condition.</w:t>
      </w:r>
    </w:p>
    <w:p>
      <w:pPr>
        <w:ind w:left="173" w:hanging="173"/>
      </w:pPr>
      <w:r>
        <w:rPr>
          <w:rFonts w:ascii="Segoe UI Symbol" w:hAnsi="Segoe UI Symbol"/>
        </w:rPr>
        <w:t xml:space="preserve">□ </w:t>
      </w:r>
      <w:r>
        <w:t>The economic or feasibility method is proportionate and its limits are stated.</w:t>
      </w:r>
    </w:p>
    <w:p>
      <w:pPr>
        <w:ind w:left="173" w:hanging="173"/>
      </w:pPr>
      <w:r>
        <w:rPr>
          <w:rFonts w:ascii="Segoe UI Symbol" w:hAnsi="Segoe UI Symbol"/>
        </w:rPr>
        <w:t xml:space="preserve">□ </w:t>
      </w:r>
      <w:r>
        <w:t>Draft graphics make claims inspectable instead of merely decorating pages.</w:t>
      </w:r>
    </w:p>
    <w:p>
      <w:pPr>
        <w:ind w:left="173" w:hanging="173"/>
      </w:pPr>
      <w:r>
        <w:rPr>
          <w:rFonts w:ascii="Segoe UI Symbol" w:hAnsi="Segoe UI Symbol"/>
        </w:rPr>
        <w:t xml:space="preserve">□ </w:t>
      </w:r>
      <w:r>
        <w:t>Every unresolved issue has a next action, owner, and review point.</w:t>
      </w:r>
    </w:p>
    <w:tbl>
      <w:tblPr>
        <w:tblW w:type="auto" w:w="0"/>
        <w:jc w:val="center"/>
        <w:tblLook w:firstColumn="1" w:firstRow="1" w:lastColumn="0" w:lastRow="0" w:noHBand="0" w:noVBand="1" w:val="04A0"/>
      </w:tblPr>
      <w:tblGrid>
        <w:gridCol w:w="10454"/>
      </w:tblGrid>
      <w:tr>
        <w:tc>
          <w:tcPr>
            <w:tcW w:type="dxa" w:w="10454"/>
            <w:shd w:fill="E8EEF5"/>
            <w:tcMar>
              <w:top w:w="100" w:type="dxa"/>
              <w:start w:w="140" w:type="dxa"/>
              <w:bottom w:w="100" w:type="dxa"/>
              <w:end w:w="140" w:type="dxa"/>
            </w:tcMar>
          </w:tcPr>
          <w:p>
            <w:r>
              <w:rPr>
                <w:rFonts w:ascii="Futura Demi" w:hAnsi="Futura Demi"/>
                <w:b/>
                <w:color w:val="232D4B"/>
              </w:rPr>
              <w:t xml:space="preserve">Submission: </w:t>
            </w:r>
            <w:r>
              <w:t>One member of the team submits the package to Canvas by the listed deadline. Every student remains responsible for the work, sources, disclosed material AI assistance, and any required contribution record.</w:t>
            </w:r>
          </w:p>
        </w:tc>
      </w:tr>
    </w:tbl>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Futura Book" w:hAnsi="Futura Book"/>
        <w:color w:val="808080"/>
        <w:sz w:val="14"/>
      </w:rPr>
      <w:t xml:space="preserve">Rural Planning and Economic Development | PLAC 5500-001 / LPPP 5559-001 | Fall 2026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Futura Book" w:hAnsi="Futura Book"/>
      <w:color w:val="1F1F1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Futura Demi" w:hAnsi="Futura Demi"/>
      <w:b/>
      <w:bCs/>
      <w:color w:val="232D4B"/>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Futura Demi" w:hAnsi="Futura Demi"/>
      <w:b/>
      <w:bCs/>
      <w:color w:val="E57200"/>
      <w:sz w:val="24"/>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Futura Demi" w:hAnsi="Futura Demi"/>
      <w:b/>
      <w:bCs/>
      <w:color w:val="232D4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120"/>
      <w:contextualSpacing/>
    </w:pPr>
    <w:rPr>
      <w:rFonts w:asciiTheme="majorHAnsi" w:eastAsiaTheme="majorEastAsia" w:hAnsiTheme="majorHAnsi" w:cstheme="majorBidi" w:ascii="Futura Demi" w:hAnsi="Futura Demi"/>
      <w:b/>
      <w:color w:val="232D4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20" w:after="60"/>
    </w:pPr>
    <w:rPr>
      <w:rFonts w:asciiTheme="majorHAnsi" w:eastAsiaTheme="majorEastAsia" w:hAnsiTheme="majorHAnsi" w:cstheme="majorBidi" w:ascii="Futura Demi" w:hAnsi="Futura Demi"/>
      <w:b/>
      <w:i/>
      <w:iCs/>
      <w:color w:val="80808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Substantive Draft: 60%</dc:title>
  <dc:subject>Rural Planning and Economic Development</dc:subject>
  <dc:creator>Tyler Hinkle, AICP</dc:creator>
  <cp:keywords>rural planning; economic development; course template; UVA</cp:keywords>
  <dc:description>Built from the Fall 2026 syllabus and current course assignment sources.</dc:description>
  <cp:lastModifiedBy/>
  <cp:revision>1</cp:revision>
  <dcterms:created xsi:type="dcterms:W3CDTF">2013-12-23T23:15:00Z</dcterms:created>
  <dcterms:modified xsi:type="dcterms:W3CDTF">2013-12-23T23:15:00Z</dcterms:modified>
  <cp:category/>
</cp:coreProperties>
</file>