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552"/>
        <w:gridCol w:w="3816"/>
      </w:tblGrid>
      <w:tr>
        <w:tc>
          <w:tcPr>
            <w:tcW w:type="dxa" w:w="5227"/>
            <w:vAlign w:val="center"/>
            <w:tcMar>
              <w:top w:w="0" w:type="dxa"/>
              <w:start w:w="0" w:type="dxa"/>
              <w:bottom w:w="0" w:type="dxa"/>
              <w:end w:w="0" w:type="dxa"/>
            </w:tcMar>
          </w:tcPr>
          <w:p>
            <w:pPr>
              <w:jc w:val="left"/>
            </w:pPr>
            <w:r>
              <w:drawing>
                <wp:inline xmlns:a="http://schemas.openxmlformats.org/drawingml/2006/main" xmlns:pic="http://schemas.openxmlformats.org/drawingml/2006/picture">
                  <wp:extent cx="2423160" cy="419064"/>
                  <wp:docPr id="1" name="Picture 1" descr="University of Virginia Frank Batten School mark"/>
                  <wp:cNvGraphicFramePr>
                    <a:graphicFrameLocks noChangeAspect="1"/>
                  </wp:cNvGraphicFramePr>
                  <a:graphic>
                    <a:graphicData uri="http://schemas.openxmlformats.org/drawingml/2006/picture">
                      <pic:pic>
                        <pic:nvPicPr>
                          <pic:cNvPr id="0" name="syllabus_brand_mark_1.png"/>
                          <pic:cNvPicPr/>
                        </pic:nvPicPr>
                        <pic:blipFill>
                          <a:blip r:embed="rId10"/>
                          <a:stretch>
                            <a:fillRect/>
                          </a:stretch>
                        </pic:blipFill>
                        <pic:spPr>
                          <a:xfrm>
                            <a:off x="0" y="0"/>
                            <a:ext cx="2423160" cy="419064"/>
                          </a:xfrm>
                          <a:prstGeom prst="rect"/>
                        </pic:spPr>
                      </pic:pic>
                    </a:graphicData>
                  </a:graphic>
                </wp:inline>
              </w:drawing>
            </w:r>
          </w:p>
        </w:tc>
        <w:tc>
          <w:tcPr>
            <w:tcW w:type="dxa" w:w="5227"/>
            <w:vAlign w:val="center"/>
            <w:tcMar>
              <w:top w:w="0" w:type="dxa"/>
              <w:start w:w="0" w:type="dxa"/>
              <w:bottom w:w="0" w:type="dxa"/>
              <w:end w:w="0" w:type="dxa"/>
            </w:tcMar>
          </w:tcPr>
          <w:p>
            <w:pPr>
              <w:jc w:val="right"/>
            </w:pPr>
            <w:r>
              <w:drawing>
                <wp:inline xmlns:a="http://schemas.openxmlformats.org/drawingml/2006/main" xmlns:pic="http://schemas.openxmlformats.org/drawingml/2006/picture">
                  <wp:extent cx="1554480" cy="372502"/>
                  <wp:docPr id="2" name="Picture 2" descr="University of Virginia School of Architecture mark"/>
                  <wp:cNvGraphicFramePr>
                    <a:graphicFrameLocks noChangeAspect="1"/>
                  </wp:cNvGraphicFramePr>
                  <a:graphic>
                    <a:graphicData uri="http://schemas.openxmlformats.org/drawingml/2006/picture">
                      <pic:pic>
                        <pic:nvPicPr>
                          <pic:cNvPr id="0" name="syllabus_brand_mark_2.png"/>
                          <pic:cNvPicPr/>
                        </pic:nvPicPr>
                        <pic:blipFill>
                          <a:blip r:embed="rId11"/>
                          <a:stretch>
                            <a:fillRect/>
                          </a:stretch>
                        </pic:blipFill>
                        <pic:spPr>
                          <a:xfrm>
                            <a:off x="0" y="0"/>
                            <a:ext cx="1554480" cy="372502"/>
                          </a:xfrm>
                          <a:prstGeom prst="rect"/>
                        </pic:spPr>
                      </pic:pic>
                    </a:graphicData>
                  </a:graphic>
                </wp:inline>
              </w:drawing>
            </w:r>
          </w:p>
        </w:tc>
      </w:tr>
    </w:tbl>
    <w:tbl>
      <w:tblPr>
        <w:tblW w:type="auto" w:w="0"/>
        <w:jc w:val="center"/>
        <w:tblLook w:firstColumn="1" w:firstRow="1" w:lastColumn="0" w:lastRow="0" w:noHBand="0" w:noVBand="1" w:val="04A0"/>
      </w:tblPr>
      <w:tblGrid>
        <w:gridCol w:w="10454"/>
      </w:tblGrid>
      <w:tr>
        <w:trPr>
          <w:cantSplit/>
          <w:trHeight w:val="57" w:hRule="atLeast"/>
        </w:trPr>
        <w:tc>
          <w:tcPr>
            <w:tcW w:type="dxa" w:w="10454"/>
            <w:shd w:fill="E57200"/>
            <w:tcMar>
              <w:top w:w="0" w:type="dxa"/>
              <w:start w:w="0" w:type="dxa"/>
              <w:bottom w:w="0" w:type="dxa"/>
              <w:end w:w="0" w:type="dxa"/>
            </w:tcMar>
          </w:tcPr>
          <w:p/>
        </w:tc>
      </w:tr>
    </w:tbl>
    <w:p>
      <w:pPr>
        <w:pStyle w:val="Title"/>
        <w:spacing w:before="140" w:after="20"/>
      </w:pPr>
      <w:r>
        <w:t>Staff Review Draft: 80%</w:t>
      </w:r>
    </w:p>
    <w:p>
      <w:pPr>
        <w:jc w:val="left"/>
      </w:pPr>
      <w:r>
        <w:rPr>
          <w:rFonts w:ascii="Futura Demi" w:hAnsi="Futura Demi"/>
          <w:b/>
          <w:color w:val="232D4B"/>
          <w:sz w:val="17"/>
        </w:rPr>
        <w:t>Rural Planning and Economic Development | PLAC 5500-001 / LPPP 5559-001 | Fall 2026</w:t>
      </w:r>
    </w:p>
    <w:p>
      <w:pPr>
        <w:pStyle w:val="Subtitle"/>
      </w:pPr>
      <w:r>
        <w:t>A nearly complete package for finite staff feedback</w:t>
      </w:r>
    </w:p>
    <w:tbl>
      <w:tblPr>
        <w:tblW w:type="auto" w:w="0"/>
        <w:jc w:val="center"/>
        <w:tblLayout w:type="fixed"/>
        <w:tblLook w:firstColumn="1" w:firstRow="1" w:lastColumn="0" w:lastRow="0" w:noHBand="0" w:noVBand="1" w:val="04A0"/>
      </w:tblPr>
      <w:tblGrid>
        <w:gridCol w:w="7416"/>
        <w:gridCol w:w="3024"/>
      </w:tblGrid>
      <w:tr>
        <w:tc>
          <w:tcPr>
            <w:tcW w:type="dxa" w:w="5227"/>
            <w:shd w:fill="E8EEF5"/>
            <w:tcMar>
              <w:top w:w="70" w:type="dxa"/>
              <w:start w:w="100" w:type="dxa"/>
              <w:bottom w:w="70" w:type="dxa"/>
              <w:end w:w="100" w:type="dxa"/>
            </w:tcMar>
          </w:tcPr>
          <w:p>
            <w:r>
              <w:rPr>
                <w:rFonts w:ascii="Futura Demi" w:hAnsi="Futura Demi"/>
                <w:b/>
                <w:color w:val="232D4B"/>
                <w:sz w:val="17"/>
              </w:rPr>
              <w:t>DUE: November 11, 2026, by 12:00 p.m. to Canvas</w:t>
            </w:r>
          </w:p>
        </w:tc>
        <w:tc>
          <w:tcPr>
            <w:tcW w:type="dxa" w:w="5227"/>
            <w:shd w:fill="E8EEF5"/>
            <w:tcMar>
              <w:top w:w="70" w:type="dxa"/>
              <w:start w:w="100" w:type="dxa"/>
              <w:bottom w:w="70" w:type="dxa"/>
              <w:end w:w="100" w:type="dxa"/>
            </w:tcMar>
          </w:tcPr>
          <w:p>
            <w:r>
              <w:rPr>
                <w:rFonts w:ascii="Futura Demi" w:hAnsi="Futura Demi"/>
                <w:b/>
                <w:color w:val="232D4B"/>
                <w:sz w:val="17"/>
              </w:rPr>
              <w:t>COURSE WEIGHT: 10%</w:t>
            </w:r>
          </w:p>
        </w:tc>
      </w:tr>
    </w:tbl>
    <w:p>
      <w:pPr>
        <w:pStyle w:val="Heading1"/>
      </w:pPr>
      <w:r>
        <w:t>Purpose</w:t>
      </w:r>
    </w:p>
    <w:p>
      <w:r>
        <w:t>Submit a coherent, nearly complete staff-review package that can be judged as a whole. Ask for finite feedback, not a new project definition.</w:t>
      </w:r>
    </w:p>
    <w:p>
      <w:pPr>
        <w:pStyle w:val="Heading1"/>
      </w:pPr>
      <w:r>
        <w:t>Required package</w:t>
      </w:r>
    </w:p>
    <w:p>
      <w:pPr>
        <w:ind w:left="173" w:hanging="173"/>
      </w:pPr>
      <w:r>
        <w:rPr>
          <w:rFonts w:ascii="Segoe UI Symbol" w:hAnsi="Segoe UI Symbol"/>
        </w:rPr>
        <w:t xml:space="preserve">□ </w:t>
      </w:r>
      <w:r>
        <w:t>Substantially complete text in the intended structure.</w:t>
      </w:r>
    </w:p>
    <w:p>
      <w:pPr>
        <w:ind w:left="173" w:hanging="173"/>
      </w:pPr>
      <w:r>
        <w:rPr>
          <w:rFonts w:ascii="Segoe UI Symbol" w:hAnsi="Segoe UI Symbol"/>
        </w:rPr>
        <w:t xml:space="preserve">□ </w:t>
      </w:r>
      <w:r>
        <w:t>Placed maps, graphics, tables, diagrams, and code or policy language as relevant.</w:t>
      </w:r>
    </w:p>
    <w:p>
      <w:pPr>
        <w:ind w:left="173" w:hanging="173"/>
      </w:pPr>
      <w:r>
        <w:rPr>
          <w:rFonts w:ascii="Segoe UI Symbol" w:hAnsi="Segoe UI Symbol"/>
        </w:rPr>
        <w:t xml:space="preserve">□ </w:t>
      </w:r>
      <w:r>
        <w:t>Recommendations with responsibility, partners, sequence, likely resources, constraints, and next actions.</w:t>
      </w:r>
    </w:p>
    <w:p>
      <w:pPr>
        <w:ind w:left="173" w:hanging="173"/>
      </w:pPr>
      <w:r>
        <w:rPr>
          <w:rFonts w:ascii="Segoe UI Symbol" w:hAnsi="Segoe UI Symbol"/>
        </w:rPr>
        <w:t xml:space="preserve">□ </w:t>
      </w:r>
      <w:r>
        <w:t>Staff-review cover memo listing the exact decisions or feedback requested.</w:t>
      </w:r>
    </w:p>
    <w:p>
      <w:pPr>
        <w:ind w:left="173" w:hanging="173"/>
      </w:pPr>
      <w:r>
        <w:rPr>
          <w:rFonts w:ascii="Segoe UI Symbol" w:hAnsi="Segoe UI Symbol"/>
        </w:rPr>
        <w:t xml:space="preserve">□ </w:t>
      </w:r>
      <w:r>
        <w:t>Source/data, assumptions, review-comment, and individual contribution records.</w:t>
      </w:r>
    </w:p>
    <w:p>
      <w:pPr>
        <w:ind w:left="173" w:hanging="173"/>
      </w:pPr>
      <w:r>
        <w:rPr>
          <w:rFonts w:ascii="Segoe UI Symbol" w:hAnsi="Segoe UI Symbol"/>
        </w:rPr>
        <w:t xml:space="preserve">□ </w:t>
      </w:r>
      <w:r>
        <w:t>A finite revision log and authorized editable/supporting files.</w:t>
      </w:r>
    </w:p>
    <w:p>
      <w:pPr>
        <w:pStyle w:val="Heading1"/>
      </w:pPr>
      <w:r>
        <w:t>Build the submission</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Staff review request: List the exact decisions, confirmations, or comments needed from staff.</w:t>
            </w:r>
          </w:p>
        </w:tc>
      </w:tr>
      <w:tr>
        <w:trPr>
          <w:cantSplit/>
          <w:trHeight w:val="108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Completeness check: Name any missing section, figure, source, decision, or permission. Explain why it remains open.</w:t>
            </w:r>
          </w:p>
        </w:tc>
      </w:tr>
      <w:tr>
        <w:trPr>
          <w:cantSplit/>
          <w:trHeight w:val="1296"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Implementation path: For each recommendation, identify lead, partners, sequence, resources, constraints, first action, and early measure.</w:t>
            </w:r>
          </w:p>
        </w:tc>
      </w:tr>
      <w:tr>
        <w:trPr>
          <w:cantSplit/>
          <w:trHeight w:val="1440"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Consistency check: Record conflicts among text, maps, numbers, graphics, recommendations, and implementation details.</w:t>
            </w:r>
          </w:p>
        </w:tc>
      </w:tr>
      <w:tr>
        <w:trPr>
          <w:cantSplit/>
          <w:trHeight w:val="1296" w:hRule="atLeast"/>
        </w:trPr>
        <w:tc>
          <w:tcPr>
            <w:tcW w:type="dxa" w:w="10454"/>
            <w:shd w:fill="FFFFFF"/>
            <w:tcMar>
              <w:top w:w="80" w:type="dxa"/>
              <w:start w:w="100" w:type="dxa"/>
              <w:bottom w:w="80" w:type="dxa"/>
              <w:end w:w="100" w:type="dxa"/>
            </w:tcMar>
          </w:tcPr>
          <w:p>
            <w:r/>
          </w:p>
        </w:tc>
      </w:tr>
    </w:tbl>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454"/>
      </w:tblGrid>
      <w:tr>
        <w:trPr>
          <w:tblHeader w:val="true"/>
        </w:trPr>
        <w:tc>
          <w:tcPr>
            <w:tcW w:type="dxa" w:w="10454"/>
            <w:shd w:fill="E8EEF5"/>
            <w:tcMar>
              <w:top w:w="80" w:type="dxa"/>
              <w:start w:w="100" w:type="dxa"/>
              <w:bottom w:w="80" w:type="dxa"/>
              <w:end w:w="100" w:type="dxa"/>
            </w:tcMar>
          </w:tcPr>
          <w:p>
            <w:r>
              <w:rPr>
                <w:rFonts w:ascii="Futura Demi" w:hAnsi="Futura Demi"/>
                <w:b/>
                <w:color w:val="232D4B"/>
              </w:rPr>
              <w:t>Finite revision list: List only the remaining changes, owner, source of comment, decision, and target completion date.</w:t>
            </w:r>
          </w:p>
        </w:tc>
      </w:tr>
      <w:tr>
        <w:trPr>
          <w:cantSplit/>
          <w:trHeight w:val="1440" w:hRule="atLeast"/>
        </w:trPr>
        <w:tc>
          <w:tcPr>
            <w:tcW w:type="dxa" w:w="10454"/>
            <w:shd w:fill="FFFFFF"/>
            <w:tcMar>
              <w:top w:w="80" w:type="dxa"/>
              <w:start w:w="100" w:type="dxa"/>
              <w:bottom w:w="80" w:type="dxa"/>
              <w:end w:w="100" w:type="dxa"/>
            </w:tcMar>
          </w:tcPr>
          <w:p>
            <w:r/>
          </w:p>
        </w:tc>
      </w:tr>
    </w:tbl>
    <w:p>
      <w:pPr>
        <w:pStyle w:val="Heading1"/>
      </w:pPr>
      <w:r>
        <w:t>Before submission</w:t>
      </w:r>
    </w:p>
    <w:p>
      <w:pPr>
        <w:ind w:left="173" w:hanging="173"/>
      </w:pPr>
      <w:r>
        <w:rPr>
          <w:rFonts w:ascii="Segoe UI Symbol" w:hAnsi="Segoe UI Symbol"/>
        </w:rPr>
        <w:t xml:space="preserve">□ </w:t>
      </w:r>
      <w:r>
        <w:t>A reviewer can understand the product without reconstructing the team's file system.</w:t>
      </w:r>
    </w:p>
    <w:p>
      <w:pPr>
        <w:ind w:left="173" w:hanging="173"/>
      </w:pPr>
      <w:r>
        <w:rPr>
          <w:rFonts w:ascii="Segoe UI Symbol" w:hAnsi="Segoe UI Symbol"/>
        </w:rPr>
        <w:t xml:space="preserve">□ </w:t>
      </w:r>
      <w:r>
        <w:t>Claims, dates, numbers, maps, and recommendations agree across the package.</w:t>
      </w:r>
    </w:p>
    <w:p>
      <w:pPr>
        <w:ind w:left="173" w:hanging="173"/>
      </w:pPr>
      <w:r>
        <w:rPr>
          <w:rFonts w:ascii="Segoe UI Symbol" w:hAnsi="Segoe UI Symbol"/>
        </w:rPr>
        <w:t xml:space="preserve">□ </w:t>
      </w:r>
      <w:r>
        <w:t>Major claims and visuals received a second-person check.</w:t>
      </w:r>
    </w:p>
    <w:p>
      <w:pPr>
        <w:ind w:left="173" w:hanging="173"/>
      </w:pPr>
      <w:r>
        <w:rPr>
          <w:rFonts w:ascii="Segoe UI Symbol" w:hAnsi="Segoe UI Symbol"/>
        </w:rPr>
        <w:t xml:space="preserve">□ </w:t>
      </w:r>
      <w:r>
        <w:t>Accessibility, citations, alt text, contrast, reading order, and file names are checked.</w:t>
      </w:r>
    </w:p>
    <w:p>
      <w:pPr>
        <w:ind w:left="173" w:hanging="173"/>
      </w:pPr>
      <w:r>
        <w:rPr>
          <w:rFonts w:ascii="Segoe UI Symbol" w:hAnsi="Segoe UI Symbol"/>
        </w:rPr>
        <w:t xml:space="preserve">□ </w:t>
      </w:r>
      <w:r>
        <w:t>Only authorized material is included in the staff-review package.</w:t>
      </w:r>
    </w:p>
    <w:tbl>
      <w:tblPr>
        <w:tblW w:type="auto" w:w="0"/>
        <w:jc w:val="center"/>
        <w:tblLook w:firstColumn="1" w:firstRow="1" w:lastColumn="0" w:lastRow="0" w:noHBand="0" w:noVBand="1" w:val="04A0"/>
      </w:tblPr>
      <w:tblGrid>
        <w:gridCol w:w="10454"/>
      </w:tblGrid>
      <w:tr>
        <w:tc>
          <w:tcPr>
            <w:tcW w:type="dxa" w:w="10454"/>
            <w:shd w:fill="E8EEF5"/>
            <w:tcMar>
              <w:top w:w="100" w:type="dxa"/>
              <w:start w:w="140" w:type="dxa"/>
              <w:bottom w:w="100" w:type="dxa"/>
              <w:end w:w="140" w:type="dxa"/>
            </w:tcMar>
          </w:tcPr>
          <w:p>
            <w:r>
              <w:rPr>
                <w:rFonts w:ascii="Futura Demi" w:hAnsi="Futura Demi"/>
                <w:b/>
                <w:color w:val="232D4B"/>
              </w:rPr>
              <w:t xml:space="preserve">Submission: </w:t>
            </w:r>
            <w:r>
              <w:t>One member of the team submits the package to Canvas by the listed deadline. Every student remains responsible for the work, sources, disclosed material AI assistance, and any required contribution record.</w:t>
            </w:r>
          </w:p>
        </w:tc>
      </w:tr>
    </w:tbl>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Futura Book" w:hAnsi="Futura Book"/>
        <w:color w:val="808080"/>
        <w:sz w:val="14"/>
      </w:rPr>
      <w:t xml:space="preserve">Rural Planning and Economic Development | PLAC 5500-001 / LPPP 5559-001 | Fall 2026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Futura Book" w:hAnsi="Futura Book"/>
      <w:color w:val="1F1F1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Futura Demi" w:hAnsi="Futura Demi"/>
      <w:b/>
      <w:bCs/>
      <w:color w:val="232D4B"/>
      <w:sz w:val="3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Futura Demi" w:hAnsi="Futura Demi"/>
      <w:b/>
      <w:bCs/>
      <w:color w:val="E57200"/>
      <w:sz w:val="24"/>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Futura Demi" w:hAnsi="Futura Demi"/>
      <w:b/>
      <w:bCs/>
      <w:color w:val="232D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120"/>
      <w:contextualSpacing/>
    </w:pPr>
    <w:rPr>
      <w:rFonts w:asciiTheme="majorHAnsi" w:eastAsiaTheme="majorEastAsia" w:hAnsiTheme="majorHAnsi" w:cstheme="majorBidi" w:ascii="Futura Demi" w:hAnsi="Futura Demi"/>
      <w:b/>
      <w:color w:val="232D4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60"/>
    </w:pPr>
    <w:rPr>
      <w:rFonts w:asciiTheme="majorHAnsi" w:eastAsiaTheme="majorEastAsia" w:hAnsiTheme="majorHAnsi" w:cstheme="majorBidi" w:ascii="Futura Demi" w:hAnsi="Futura Demi"/>
      <w:b/>
      <w:i/>
      <w:iCs/>
      <w:color w:val="80808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Review Draft: 80%</dc:title>
  <dc:subject>Rural Planning and Economic Development</dc:subject>
  <dc:creator>Tyler Hinkle, AICP</dc:creator>
  <cp:keywords>rural planning; economic development; course template; UVA</cp:keywords>
  <dc:description>Built from the Fall 2026 syllabus and current course assignment sources.</dc:description>
  <cp:lastModifiedBy/>
  <cp:revision>1</cp:revision>
  <dcterms:created xsi:type="dcterms:W3CDTF">2013-12-23T23:15:00Z</dcterms:created>
  <dcterms:modified xsi:type="dcterms:W3CDTF">2013-12-23T23:15:00Z</dcterms:modified>
  <cp:category/>
</cp:coreProperties>
</file>