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Final Product: 100%</w:t>
      </w:r>
    </w:p>
    <w:p>
      <w:pPr>
        <w:jc w:val="left"/>
      </w:pPr>
      <w:r>
        <w:rPr>
          <w:rFonts w:ascii="Futura Demi" w:hAnsi="Futura Demi"/>
          <w:b/>
          <w:color w:val="232D4B"/>
          <w:sz w:val="17"/>
        </w:rPr>
        <w:t>Rural Planning and Economic Development | PLAC 5500-001 / LPPP 5559-001 | Fall 2026</w:t>
      </w:r>
    </w:p>
    <w:p>
      <w:pPr>
        <w:pStyle w:val="Subtitle"/>
      </w:pPr>
      <w:r>
        <w:t>Final handoff checklist</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December 9, 2026, by 12:00 p.m. to Canvas</w:t>
            </w:r>
          </w:p>
        </w:tc>
        <w:tc>
          <w:tcPr>
            <w:tcW w:type="dxa" w:w="5227"/>
            <w:shd w:fill="E8EEF5"/>
            <w:tcMar>
              <w:top w:w="70" w:type="dxa"/>
              <w:start w:w="100" w:type="dxa"/>
              <w:bottom w:w="70" w:type="dxa"/>
              <w:end w:w="100" w:type="dxa"/>
            </w:tcMar>
          </w:tcPr>
          <w:p>
            <w:r>
              <w:rPr>
                <w:rFonts w:ascii="Futura Demi" w:hAnsi="Futura Demi"/>
                <w:b/>
                <w:color w:val="232D4B"/>
                <w:sz w:val="17"/>
              </w:rPr>
              <w:t>COURSE WEIGHT: 15%</w:t>
            </w:r>
          </w:p>
        </w:tc>
      </w:tr>
    </w:tbl>
    <w:p>
      <w:pPr>
        <w:pStyle w:val="Heading1"/>
      </w:pPr>
      <w:r>
        <w:t>Purpose</w:t>
      </w:r>
    </w:p>
    <w:p>
      <w:r>
        <w:t>Deliver the complete, internally quality-checked community planning product and the supporting materials needed for authorized client use.</w:t>
      </w:r>
    </w:p>
    <w:p>
      <w:pPr>
        <w:pStyle w:val="Heading1"/>
      </w:pPr>
      <w:r>
        <w:t>Required package</w:t>
      </w:r>
    </w:p>
    <w:p>
      <w:pPr>
        <w:ind w:left="173" w:hanging="173"/>
      </w:pPr>
      <w:r>
        <w:rPr>
          <w:rFonts w:ascii="Segoe UI Symbol" w:hAnsi="Segoe UI Symbol"/>
        </w:rPr>
        <w:t xml:space="preserve">□ </w:t>
      </w:r>
      <w:r>
        <w:t>Final document or product and an executive summary or equivalent orientation.</w:t>
      </w:r>
    </w:p>
    <w:p>
      <w:pPr>
        <w:ind w:left="173" w:hanging="173"/>
      </w:pPr>
      <w:r>
        <w:rPr>
          <w:rFonts w:ascii="Segoe UI Symbol" w:hAnsi="Segoe UI Symbol"/>
        </w:rPr>
        <w:t xml:space="preserve">□ </w:t>
      </w:r>
      <w:r>
        <w:t>Accurate citations, methods, source/data notes, and accessible graphics.</w:t>
      </w:r>
    </w:p>
    <w:p>
      <w:pPr>
        <w:ind w:left="173" w:hanging="173"/>
      </w:pPr>
      <w:r>
        <w:rPr>
          <w:rFonts w:ascii="Segoe UI Symbol" w:hAnsi="Segoe UI Symbol"/>
        </w:rPr>
        <w:t xml:space="preserve">□ </w:t>
      </w:r>
      <w:r>
        <w:t>Complete recommendations and implementation path.</w:t>
      </w:r>
    </w:p>
    <w:p>
      <w:pPr>
        <w:ind w:left="173" w:hanging="173"/>
      </w:pPr>
      <w:r>
        <w:rPr>
          <w:rFonts w:ascii="Segoe UI Symbol" w:hAnsi="Segoe UI Symbol"/>
        </w:rPr>
        <w:t xml:space="preserve">□ </w:t>
      </w:r>
      <w:r>
        <w:t>Limitations, unresolved items, verification needs, and next steps.</w:t>
      </w:r>
    </w:p>
    <w:p>
      <w:pPr>
        <w:ind w:left="173" w:hanging="173"/>
      </w:pPr>
      <w:r>
        <w:rPr>
          <w:rFonts w:ascii="Segoe UI Symbol" w:hAnsi="Segoe UI Symbol"/>
        </w:rPr>
        <w:t xml:space="preserve">□ </w:t>
      </w:r>
      <w:r>
        <w:t>Authorized editable/source files, data dictionary, map notes, or code documentation as relevant.</w:t>
      </w:r>
    </w:p>
    <w:p>
      <w:pPr>
        <w:ind w:left="173" w:hanging="173"/>
      </w:pPr>
      <w:r>
        <w:rPr>
          <w:rFonts w:ascii="Segoe UI Symbol" w:hAnsi="Segoe UI Symbol"/>
        </w:rPr>
        <w:t xml:space="preserve">□ </w:t>
      </w:r>
      <w:r>
        <w:t>Final revision/assumptions record and individual contribution record.</w:t>
      </w:r>
    </w:p>
    <w:p>
      <w:pPr>
        <w:pStyle w:val="Heading1"/>
      </w:pPr>
      <w:r>
        <w:t>Build the submission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Client use: What can the client do with the product immediately? What still requires staff, legal, engineering, market, or field verification?</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Final source check: Record the checker and status of every major claim, figure, map, date, and recommendation.</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Implementation check: Confirm responsibility, sequence, partners, resources, constraints, first action, and early measure.</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Handoff package: List final PDFs, editable files, data, fonts, images, links, documentation, and version/date identifiers.</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Release status: Identify what the client may publish, what remains internal, and who authorized the decision.</w:t>
            </w:r>
          </w:p>
        </w:tc>
      </w:tr>
      <w:tr>
        <w:trPr>
          <w:cantSplit/>
          <w:trHeight w:val="1080" w:hRule="atLeast"/>
        </w:trPr>
        <w:tc>
          <w:tcPr>
            <w:tcW w:type="dxa" w:w="10454"/>
            <w:shd w:fill="FFFFFF"/>
            <w:tcMar>
              <w:top w:w="80" w:type="dxa"/>
              <w:start w:w="100" w:type="dxa"/>
              <w:bottom w:w="80" w:type="dxa"/>
              <w:end w:w="100" w:type="dxa"/>
            </w:tcMar>
          </w:tcPr>
          <w:p>
            <w:r/>
          </w:p>
        </w:tc>
      </w:tr>
    </w:tbl>
    <w:p>
      <w:pPr>
        <w:pStyle w:val="Heading1"/>
      </w:pPr>
      <w:r>
        <w:t>Before submission</w:t>
      </w:r>
    </w:p>
    <w:p>
      <w:pPr>
        <w:ind w:left="173" w:hanging="173"/>
      </w:pPr>
      <w:r>
        <w:rPr>
          <w:rFonts w:ascii="Segoe UI Symbol" w:hAnsi="Segoe UI Symbol"/>
        </w:rPr>
        <w:t xml:space="preserve">□ </w:t>
      </w:r>
      <w:r>
        <w:t>Authorized feedback is resolved and material changes are recorded.</w:t>
      </w:r>
    </w:p>
    <w:p>
      <w:pPr>
        <w:ind w:left="173" w:hanging="173"/>
      </w:pPr>
      <w:r>
        <w:rPr>
          <w:rFonts w:ascii="Segoe UI Symbol" w:hAnsi="Segoe UI Symbol"/>
        </w:rPr>
        <w:t xml:space="preserve">□ </w:t>
      </w:r>
      <w:r>
        <w:t>No claim or graphic exceeds the evidence or hides missing data.</w:t>
      </w:r>
    </w:p>
    <w:p>
      <w:pPr>
        <w:ind w:left="173" w:hanging="173"/>
      </w:pPr>
      <w:r>
        <w:rPr>
          <w:rFonts w:ascii="Segoe UI Symbol" w:hAnsi="Segoe UI Symbol"/>
        </w:rPr>
        <w:t xml:space="preserve">□ </w:t>
      </w:r>
      <w:r>
        <w:t>The final PDF and editable files match and open correctly.</w:t>
      </w:r>
    </w:p>
    <w:p>
      <w:pPr>
        <w:ind w:left="173" w:hanging="173"/>
      </w:pPr>
      <w:r>
        <w:rPr>
          <w:rFonts w:ascii="Segoe UI Symbol" w:hAnsi="Segoe UI Symbol"/>
        </w:rPr>
        <w:t xml:space="preserve">□ </w:t>
      </w:r>
      <w:r>
        <w:t>All files use clear names, dates, and version identifiers.</w:t>
      </w:r>
    </w:p>
    <w:p>
      <w:pPr>
        <w:ind w:left="173" w:hanging="173"/>
      </w:pPr>
      <w:r>
        <w:rPr>
          <w:rFonts w:ascii="Segoe UI Symbol" w:hAnsi="Segoe UI Symbol"/>
        </w:rPr>
        <w:t xml:space="preserve">□ </w:t>
      </w:r>
      <w:r>
        <w:t>Every student can explain purpose, inputs, method, choices, limits, verification, implications, and contribution.</w:t>
      </w:r>
    </w:p>
    <w:tbl>
      <w:tblPr>
        <w:tblW w:type="auto" w:w="0"/>
        <w:jc w:val="center"/>
        <w:tblLook w:firstColumn="1" w:firstRow="1" w:lastColumn="0" w:lastRow="0" w:noHBand="0" w:noVBand="1" w:val="04A0"/>
      </w:tblPr>
      <w:tblGrid>
        <w:gridCol w:w="10454"/>
      </w:tblGrid>
      <w:tr>
        <w:tc>
          <w:tcPr>
            <w:tcW w:type="dxa" w:w="10454"/>
            <w:shd w:fill="E8EEF5"/>
            <w:tcMar>
              <w:top w:w="100" w:type="dxa"/>
              <w:start w:w="140" w:type="dxa"/>
              <w:bottom w:w="100" w:type="dxa"/>
              <w:end w:w="140" w:type="dxa"/>
            </w:tcMar>
          </w:tcPr>
          <w:p>
            <w:r>
              <w:rPr>
                <w:rFonts w:ascii="Futura Demi" w:hAnsi="Futura Demi"/>
                <w:b/>
                <w:color w:val="232D4B"/>
              </w:rPr>
              <w:t xml:space="preserve">Submission: </w:t>
            </w:r>
            <w:r>
              <w:t>One member of the team submits the package to Canvas by the listed deadline. Every student remains responsible for the work, sources, disclosed material AI assistance, and any required contribution record.</w:t>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Product: 100%</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