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552"/>
        <w:gridCol w:w="3816"/>
      </w:tblGrid>
      <w:tr>
        <w:tc>
          <w:tcPr>
            <w:tcW w:type="dxa" w:w="5227"/>
            <w:vAlign w:val="center"/>
            <w:tcMar>
              <w:top w:w="0" w:type="dxa"/>
              <w:start w:w="0" w:type="dxa"/>
              <w:bottom w:w="0" w:type="dxa"/>
              <w:end w:w="0" w:type="dxa"/>
            </w:tcMar>
          </w:tcPr>
          <w:p>
            <w:pPr>
              <w:jc w:val="left"/>
            </w:pPr>
            <w:r>
              <w:drawing>
                <wp:inline xmlns:a="http://schemas.openxmlformats.org/drawingml/2006/main" xmlns:pic="http://schemas.openxmlformats.org/drawingml/2006/picture">
                  <wp:extent cx="2423160" cy="419064"/>
                  <wp:docPr id="1" name="Picture 1" descr="University of Virginia Frank Batten School mark"/>
                  <wp:cNvGraphicFramePr>
                    <a:graphicFrameLocks noChangeAspect="1"/>
                  </wp:cNvGraphicFramePr>
                  <a:graphic>
                    <a:graphicData uri="http://schemas.openxmlformats.org/drawingml/2006/picture">
                      <pic:pic>
                        <pic:nvPicPr>
                          <pic:cNvPr id="0" name="syllabus_brand_mark_1.png"/>
                          <pic:cNvPicPr/>
                        </pic:nvPicPr>
                        <pic:blipFill>
                          <a:blip r:embed="rId10"/>
                          <a:stretch>
                            <a:fillRect/>
                          </a:stretch>
                        </pic:blipFill>
                        <pic:spPr>
                          <a:xfrm>
                            <a:off x="0" y="0"/>
                            <a:ext cx="2423160" cy="419064"/>
                          </a:xfrm>
                          <a:prstGeom prst="rect"/>
                        </pic:spPr>
                      </pic:pic>
                    </a:graphicData>
                  </a:graphic>
                </wp:inline>
              </w:drawing>
            </w:r>
          </w:p>
        </w:tc>
        <w:tc>
          <w:tcPr>
            <w:tcW w:type="dxa" w:w="5227"/>
            <w:vAlign w:val="center"/>
            <w:tcMar>
              <w:top w:w="0" w:type="dxa"/>
              <w:start w:w="0" w:type="dxa"/>
              <w:bottom w:w="0" w:type="dxa"/>
              <w:end w:w="0" w:type="dxa"/>
            </w:tcMar>
          </w:tcPr>
          <w:p>
            <w:pPr>
              <w:jc w:val="right"/>
            </w:pPr>
            <w:r>
              <w:drawing>
                <wp:inline xmlns:a="http://schemas.openxmlformats.org/drawingml/2006/main" xmlns:pic="http://schemas.openxmlformats.org/drawingml/2006/picture">
                  <wp:extent cx="1554480" cy="372502"/>
                  <wp:docPr id="2" name="Picture 2" descr="University of Virginia School of Architecture mark"/>
                  <wp:cNvGraphicFramePr>
                    <a:graphicFrameLocks noChangeAspect="1"/>
                  </wp:cNvGraphicFramePr>
                  <a:graphic>
                    <a:graphicData uri="http://schemas.openxmlformats.org/drawingml/2006/picture">
                      <pic:pic>
                        <pic:nvPicPr>
                          <pic:cNvPr id="0" name="syllabus_brand_mark_2.png"/>
                          <pic:cNvPicPr/>
                        </pic:nvPicPr>
                        <pic:blipFill>
                          <a:blip r:embed="rId11"/>
                          <a:stretch>
                            <a:fillRect/>
                          </a:stretch>
                        </pic:blipFill>
                        <pic:spPr>
                          <a:xfrm>
                            <a:off x="0" y="0"/>
                            <a:ext cx="1554480" cy="372502"/>
                          </a:xfrm>
                          <a:prstGeom prst="rect"/>
                        </pic:spPr>
                      </pic:pic>
                    </a:graphicData>
                  </a:graphic>
                </wp:inline>
              </w:drawing>
            </w:r>
          </w:p>
        </w:tc>
      </w:tr>
    </w:tbl>
    <w:tbl>
      <w:tblPr>
        <w:tblW w:type="auto" w:w="0"/>
        <w:jc w:val="center"/>
        <w:tblLook w:firstColumn="1" w:firstRow="1" w:lastColumn="0" w:lastRow="0" w:noHBand="0" w:noVBand="1" w:val="04A0"/>
      </w:tblPr>
      <w:tblGrid>
        <w:gridCol w:w="10454"/>
      </w:tblGrid>
      <w:tr>
        <w:trPr>
          <w:cantSplit/>
          <w:trHeight w:val="57" w:hRule="atLeast"/>
        </w:trPr>
        <w:tc>
          <w:tcPr>
            <w:tcW w:type="dxa" w:w="10454"/>
            <w:shd w:fill="E57200"/>
            <w:tcMar>
              <w:top w:w="0" w:type="dxa"/>
              <w:start w:w="0" w:type="dxa"/>
              <w:bottom w:w="0" w:type="dxa"/>
              <w:end w:w="0" w:type="dxa"/>
            </w:tcMar>
          </w:tcPr>
          <w:p/>
        </w:tc>
      </w:tr>
    </w:tbl>
    <w:p>
      <w:pPr>
        <w:pStyle w:val="Title"/>
        <w:spacing w:before="140" w:after="20"/>
      </w:pPr>
      <w:r>
        <w:t>Individual Assignment 1: Serial Vision</w:t>
      </w:r>
    </w:p>
    <w:p>
      <w:pPr>
        <w:jc w:val="left"/>
      </w:pPr>
      <w:r>
        <w:rPr>
          <w:rFonts w:ascii="Futura Demi" w:hAnsi="Futura Demi"/>
          <w:b/>
          <w:color w:val="232D4B"/>
          <w:sz w:val="17"/>
        </w:rPr>
        <w:t>Rural Planning and Economic Development | PLAC 5500-001 / LPPP 5559-001 | Fall 2026</w:t>
      </w:r>
    </w:p>
    <w:p>
      <w:pPr>
        <w:pStyle w:val="Subtitle"/>
      </w:pPr>
      <w:r>
        <w:t>Assignment brief and working template</w:t>
      </w:r>
    </w:p>
    <w:tbl>
      <w:tblPr>
        <w:tblW w:type="auto" w:w="0"/>
        <w:jc w:val="center"/>
        <w:tblLayout w:type="fixed"/>
        <w:tblLook w:firstColumn="1" w:firstRow="1" w:lastColumn="0" w:lastRow="0" w:noHBand="0" w:noVBand="1" w:val="04A0"/>
      </w:tblPr>
      <w:tblGrid>
        <w:gridCol w:w="7416"/>
        <w:gridCol w:w="3024"/>
      </w:tblGrid>
      <w:tr>
        <w:tc>
          <w:tcPr>
            <w:tcW w:type="dxa" w:w="5227"/>
            <w:shd w:fill="E8EEF5"/>
            <w:tcMar>
              <w:top w:w="70" w:type="dxa"/>
              <w:start w:w="100" w:type="dxa"/>
              <w:bottom w:w="70" w:type="dxa"/>
              <w:end w:w="100" w:type="dxa"/>
            </w:tcMar>
          </w:tcPr>
          <w:p>
            <w:r>
              <w:rPr>
                <w:rFonts w:ascii="Futura Demi" w:hAnsi="Futura Demi"/>
                <w:b/>
                <w:color w:val="232D4B"/>
                <w:sz w:val="17"/>
              </w:rPr>
              <w:t>DUE: September 30, 2026, at the start of class</w:t>
            </w:r>
          </w:p>
        </w:tc>
        <w:tc>
          <w:tcPr>
            <w:tcW w:type="dxa" w:w="5227"/>
            <w:shd w:fill="E8EEF5"/>
            <w:tcMar>
              <w:top w:w="70" w:type="dxa"/>
              <w:start w:w="100" w:type="dxa"/>
              <w:bottom w:w="70" w:type="dxa"/>
              <w:end w:w="100" w:type="dxa"/>
            </w:tcMar>
          </w:tcPr>
          <w:p>
            <w:r>
              <w:rPr>
                <w:rFonts w:ascii="Futura Demi" w:hAnsi="Futura Demi"/>
                <w:b/>
                <w:color w:val="232D4B"/>
                <w:sz w:val="17"/>
              </w:rPr>
              <w:t>COURSE WEIGHT: 3%</w:t>
            </w:r>
          </w:p>
        </w:tc>
      </w:tr>
    </w:tbl>
    <w:p>
      <w:pPr>
        <w:pStyle w:val="Heading1"/>
      </w:pPr>
      <w:r>
        <w:t>Purpose</w:t>
      </w:r>
    </w:p>
    <w:p>
      <w:r>
        <w:t>Read a place through a sequence of views and explain how movement changes the experience of form, public life, identity, comfort, access, or connection.</w:t>
      </w:r>
    </w:p>
    <w:p>
      <w:pPr>
        <w:pStyle w:val="Heading1"/>
      </w:pPr>
      <w:r>
        <w:t>The class will provide</w:t>
      </w:r>
    </w:p>
    <w:p>
      <w:pPr>
        <w:pStyle w:val="ListBullet"/>
        <w:spacing w:after="40"/>
      </w:pPr>
      <w:r>
        <w:t>In-class demonstration.</w:t>
      </w:r>
    </w:p>
    <w:p>
      <w:pPr>
        <w:pStyle w:val="ListBullet"/>
        <w:spacing w:after="40"/>
      </w:pPr>
      <w:r>
        <w:t>Figure-ground basemap with black building footprints and street lines.</w:t>
      </w:r>
    </w:p>
    <w:p>
      <w:pPr>
        <w:pStyle w:val="ListBullet"/>
        <w:spacing w:after="40"/>
      </w:pPr>
      <w:r>
        <w:t>Capture and annotation guidance, examples, work time, and rubric.</w:t>
      </w:r>
    </w:p>
    <w:p>
      <w:pPr>
        <w:pStyle w:val="Heading1"/>
      </w:pPr>
      <w:r>
        <w:t>What to submit</w:t>
      </w:r>
    </w:p>
    <w:p>
      <w:pPr>
        <w:ind w:left="173" w:hanging="173"/>
      </w:pPr>
      <w:r>
        <w:rPr>
          <w:rFonts w:ascii="Segoe UI Symbol" w:hAnsi="Segoe UI Symbol"/>
        </w:rPr>
        <w:t xml:space="preserve">□ </w:t>
      </w:r>
      <w:r>
        <w:t>One accessible PDF or equivalent readable visual document.</w:t>
      </w:r>
    </w:p>
    <w:p>
      <w:pPr>
        <w:ind w:left="173" w:hanging="173"/>
      </w:pPr>
      <w:r>
        <w:rPr>
          <w:rFonts w:ascii="Segoe UI Symbol" w:hAnsi="Segoe UI Symbol"/>
        </w:rPr>
        <w:t xml:space="preserve">□ </w:t>
      </w:r>
      <w:r>
        <w:t>Route map with clear start, finish, direction, and four to six numbered observation points.</w:t>
      </w:r>
    </w:p>
    <w:p>
      <w:pPr>
        <w:ind w:left="173" w:hanging="173"/>
      </w:pPr>
      <w:r>
        <w:rPr>
          <w:rFonts w:ascii="Segoe UI Symbol" w:hAnsi="Segoe UI Symbol"/>
        </w:rPr>
        <w:t xml:space="preserve">□ </w:t>
      </w:r>
      <w:r>
        <w:t>Four to six original ordered views.</w:t>
      </w:r>
    </w:p>
    <w:p>
      <w:pPr>
        <w:ind w:left="173" w:hanging="173"/>
      </w:pPr>
      <w:r>
        <w:rPr>
          <w:rFonts w:ascii="Segoe UI Symbol" w:hAnsi="Segoe UI Symbol"/>
        </w:rPr>
        <w:t xml:space="preserve">□ </w:t>
      </w:r>
      <w:r>
        <w:t>At least two meaningful annotations per view that separate observation from interpretation.</w:t>
      </w:r>
    </w:p>
    <w:p>
      <w:pPr>
        <w:ind w:left="173" w:hanging="173"/>
      </w:pPr>
      <w:r>
        <w:rPr>
          <w:rFonts w:ascii="Segoe UI Symbol" w:hAnsi="Segoe UI Symbol"/>
        </w:rPr>
        <w:t xml:space="preserve">□ </w:t>
      </w:r>
      <w:r>
        <w:t>Character notes, route-level conclusion, one planning or design question, field date/time/observer, and source or image credits.</w:t>
      </w:r>
    </w:p>
    <w:p>
      <w:pPr>
        <w:ind w:left="173" w:hanging="173"/>
      </w:pPr>
      <w:r>
        <w:rPr>
          <w:rFonts w:ascii="Segoe UI Symbol" w:hAnsi="Segoe UI Symbol"/>
        </w:rPr>
        <w:t xml:space="preserve">□ </w:t>
      </w:r>
      <w:r>
        <w:t>Editable source file when available and useful for review.</w:t>
      </w:r>
    </w:p>
    <w:p>
      <w:pPr>
        <w:pStyle w:val="Heading1"/>
      </w:pPr>
      <w:r>
        <w:t>Recommended workflow</w:t>
      </w:r>
    </w:p>
    <w:p>
      <w:r>
        <w:t>1. Frame one route question.</w:t>
      </w:r>
    </w:p>
    <w:p>
      <w:r>
        <w:t>2. Complete a character scan before selecting viewpoints.</w:t>
      </w:r>
    </w:p>
    <w:p>
      <w:r>
        <w:t>3. Map the route and choose four to six meaningful transitions.</w:t>
      </w:r>
    </w:p>
    <w:p>
      <w:r>
        <w:t>4. Observe consistently and record what changes, what is missing, and what remains uncertain.</w:t>
      </w:r>
    </w:p>
    <w:p>
      <w:r>
        <w:t>5. Annotate physical evidence and explain its effect.</w:t>
      </w:r>
    </w:p>
    <w:p>
      <w:r>
        <w:t>6. Conclude with the strongest transition or break, one implication, and one limitation or verification need.</w:t>
      </w:r>
    </w:p>
    <w:p>
      <w:r>
        <w:br w:type="page"/>
      </w:r>
    </w:p>
    <w:p>
      <w:pPr>
        <w:pStyle w:val="Heading1"/>
      </w:pPr>
      <w:r>
        <w:t>Working pages</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Route question: What are you trying to understand about the experience of this route?</w:t>
            </w:r>
          </w:p>
        </w:tc>
      </w:tr>
      <w:tr>
        <w:trPr>
          <w:cantSplit/>
          <w:trHeight w:val="936"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Character scan: Record landform, street pattern, frontage, building line, height, public space, landmarks, vegetation, movement, interruptions, and other relevant features.</w:t>
            </w:r>
          </w:p>
        </w:tc>
      </w:tr>
      <w:tr>
        <w:trPr>
          <w:cantSplit/>
          <w:trHeight w:val="1512"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Route and viewpoint plan: Sketch the route, direction, start/finish, and four to six observation points.</w:t>
            </w:r>
          </w:p>
        </w:tc>
      </w:tr>
      <w:tr>
        <w:trPr>
          <w:cantSplit/>
          <w:trHeight w:val="2015"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View record: For each view, record location, time, observation, interpretation, transition from the prior view, and needed annotation.</w:t>
            </w:r>
          </w:p>
        </w:tc>
      </w:tr>
      <w:tr>
        <w:trPr>
          <w:cantSplit/>
          <w:trHeight w:val="2304"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Conclusion: What does the sequence reveal? What planning or design question follows? What must be verified?</w:t>
            </w:r>
          </w:p>
        </w:tc>
      </w:tr>
      <w:tr>
        <w:trPr>
          <w:cantSplit/>
          <w:trHeight w:val="1224" w:hRule="atLeast"/>
        </w:trPr>
        <w:tc>
          <w:tcPr>
            <w:tcW w:type="dxa" w:w="10454"/>
            <w:shd w:fill="FFFFFF"/>
            <w:tcMar>
              <w:top w:w="80" w:type="dxa"/>
              <w:start w:w="100" w:type="dxa"/>
              <w:bottom w:w="80" w:type="dxa"/>
              <w:end w:w="100" w:type="dxa"/>
            </w:tcMar>
          </w:tcPr>
          <w:p>
            <w:r/>
          </w:p>
        </w:tc>
      </w:tr>
    </w:tbl>
    <w:p>
      <w:pPr>
        <w:pStyle w:val="Heading1"/>
      </w:pPr>
      <w:r>
        <w:t>Submission self-check</w:t>
      </w:r>
    </w:p>
    <w:p>
      <w:pPr>
        <w:ind w:left="173" w:hanging="173"/>
      </w:pPr>
      <w:r>
        <w:rPr>
          <w:rFonts w:ascii="Segoe UI Symbol" w:hAnsi="Segoe UI Symbol"/>
        </w:rPr>
        <w:t xml:space="preserve">□ </w:t>
      </w:r>
      <w:r>
        <w:t>The route is an argument, not a collection of attractive pictures.</w:t>
      </w:r>
    </w:p>
    <w:p>
      <w:pPr>
        <w:ind w:left="173" w:hanging="173"/>
      </w:pPr>
      <w:r>
        <w:rPr>
          <w:rFonts w:ascii="Segoe UI Symbol" w:hAnsi="Segoe UI Symbol"/>
        </w:rPr>
        <w:t xml:space="preserve">□ </w:t>
      </w:r>
      <w:r>
        <w:t>Every view is original, ordered, located, and credited.</w:t>
      </w:r>
    </w:p>
    <w:p>
      <w:pPr>
        <w:ind w:left="173" w:hanging="173"/>
      </w:pPr>
      <w:r>
        <w:rPr>
          <w:rFonts w:ascii="Segoe UI Symbol" w:hAnsi="Segoe UI Symbol"/>
        </w:rPr>
        <w:t xml:space="preserve">□ </w:t>
      </w:r>
      <w:r>
        <w:t>Annotations identify evidence and explain significance.</w:t>
      </w:r>
    </w:p>
    <w:p>
      <w:pPr>
        <w:ind w:left="173" w:hanging="173"/>
      </w:pPr>
      <w:r>
        <w:rPr>
          <w:rFonts w:ascii="Segoe UI Symbol" w:hAnsi="Segoe UI Symbol"/>
        </w:rPr>
        <w:t xml:space="preserve">□ </w:t>
      </w:r>
      <w:r>
        <w:t>The map, images, labels, and text remain readable when exported.</w:t>
      </w:r>
    </w:p>
    <w:p>
      <w:pPr>
        <w:ind w:left="173" w:hanging="173"/>
      </w:pPr>
      <w:r>
        <w:rPr>
          <w:rFonts w:ascii="Segoe UI Symbol" w:hAnsi="Segoe UI Symbol"/>
        </w:rPr>
        <w:t xml:space="preserve">□ </w:t>
      </w:r>
      <w:r>
        <w:t>No person is identified unnecessarily.</w:t>
      </w:r>
    </w:p>
    <w:p>
      <w:pPr>
        <w:ind w:left="173" w:hanging="173"/>
      </w:pPr>
      <w:r>
        <w:rPr>
          <w:rFonts w:ascii="Segoe UI Symbol" w:hAnsi="Segoe UI Symbol"/>
        </w:rPr>
        <w:t xml:space="preserve">□ </w:t>
      </w:r>
      <w:r>
        <w:t>The conclusion stays within the evidence.</w:t>
      </w:r>
    </w:p>
    <w:p>
      <w:pPr>
        <w:pStyle w:val="Heading1"/>
      </w:pPr>
      <w:r>
        <w:t>AI, collaboration, and individual responsibility</w:t>
      </w:r>
    </w:p>
    <w:p>
      <w:r>
        <w:t>You may use the supplied data, model, and tools and discuss methods with classmates. Shared inputs and the same correct calculation are not duplicate completed assignments. Your observations, analytical decisions, interpretation, and presentation must be your own. Disclose material AI assistance, verify the work, and be ready to explain every method and choice. Do not place restricted client or personal data in public AI tools.</w:t>
      </w:r>
    </w:p>
    <w:p>
      <w:pPr>
        <w:pStyle w:val="Heading2"/>
      </w:pPr>
      <w:r>
        <w:t>Honor pledge and authorship</w:t>
      </w:r>
    </w:p>
    <w:p>
      <w:r>
        <w:t>Write and sign the exact pledge below for individual assignments and papers.</w:t>
      </w:r>
    </w:p>
    <w:p>
      <w:pPr>
        <w:ind w:left="317"/>
      </w:pPr>
      <w:r>
        <w:rPr>
          <w:i/>
        </w:rPr>
        <w:t>"I pledge that I have neither given nor received help on this examination (quiz, assignment, etc.)."</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656"/>
        <w:gridCol w:w="8712"/>
      </w:tblGrid>
      <w:tr>
        <w:trPr>
          <w:cantSplit/>
          <w:trHeight w:val="489" w:hRule="atLeast"/>
          <w:tblHeader w:val="true"/>
        </w:trPr>
        <w:tc>
          <w:tcPr>
            <w:tcW w:type="dxa" w:w="1656"/>
            <w:shd w:fill="E8EEF5"/>
            <w:tcMar>
              <w:top w:w="80" w:type="dxa"/>
              <w:start w:w="100" w:type="dxa"/>
              <w:bottom w:w="80" w:type="dxa"/>
              <w:end w:w="100" w:type="dxa"/>
            </w:tcMar>
          </w:tcPr>
          <w:p>
            <w:r>
              <w:rPr>
                <w:rFonts w:ascii="Futura Demi" w:hAnsi="Futura Demi"/>
                <w:b/>
                <w:color w:val="232D4B"/>
              </w:rPr>
              <w:t>Student</w:t>
            </w:r>
          </w:p>
        </w:tc>
        <w:tc>
          <w:tcPr>
            <w:tcW w:type="dxa" w:w="8712"/>
            <w:tcMar>
              <w:top w:w="80" w:type="dxa"/>
              <w:start w:w="100" w:type="dxa"/>
              <w:bottom w:w="80" w:type="dxa"/>
              <w:end w:w="100" w:type="dxa"/>
            </w:tcMar>
          </w:tcPr>
          <w:p>
            <w:r/>
          </w:p>
        </w:tc>
      </w:tr>
      <w:tr>
        <w:trPr>
          <w:cantSplit/>
          <w:trHeight w:val="489" w:hRule="atLeast"/>
        </w:trPr>
        <w:tc>
          <w:tcPr>
            <w:tcW w:type="dxa" w:w="1656"/>
            <w:shd w:fill="E8EEF5"/>
            <w:tcMar>
              <w:top w:w="80" w:type="dxa"/>
              <w:start w:w="100" w:type="dxa"/>
              <w:bottom w:w="80" w:type="dxa"/>
              <w:end w:w="100" w:type="dxa"/>
            </w:tcMar>
          </w:tcPr>
          <w:p>
            <w:r>
              <w:rPr>
                <w:rFonts w:ascii="Futura Demi" w:hAnsi="Futura Demi"/>
                <w:b/>
                <w:color w:val="232D4B"/>
              </w:rPr>
              <w:t>Signature</w:t>
            </w:r>
          </w:p>
        </w:tc>
        <w:tc>
          <w:tcPr>
            <w:tcW w:type="dxa" w:w="8712"/>
            <w:tcMar>
              <w:top w:w="80" w:type="dxa"/>
              <w:start w:w="100" w:type="dxa"/>
              <w:bottom w:w="80" w:type="dxa"/>
              <w:end w:w="100" w:type="dxa"/>
            </w:tcMar>
          </w:tcPr>
          <w:p>
            <w:r/>
          </w:p>
        </w:tc>
      </w:tr>
      <w:tr>
        <w:trPr>
          <w:cantSplit/>
          <w:trHeight w:val="489" w:hRule="atLeast"/>
        </w:trPr>
        <w:tc>
          <w:tcPr>
            <w:tcW w:type="dxa" w:w="1656"/>
            <w:shd w:fill="E8EEF5"/>
            <w:tcMar>
              <w:top w:w="80" w:type="dxa"/>
              <w:start w:w="100" w:type="dxa"/>
              <w:bottom w:w="80" w:type="dxa"/>
              <w:end w:w="100" w:type="dxa"/>
            </w:tcMar>
          </w:tcPr>
          <w:p>
            <w:r>
              <w:rPr>
                <w:rFonts w:ascii="Futura Demi" w:hAnsi="Futura Demi"/>
                <w:b/>
                <w:color w:val="232D4B"/>
              </w:rPr>
              <w:t>Date</w:t>
            </w:r>
          </w:p>
        </w:tc>
        <w:tc>
          <w:tcPr>
            <w:tcW w:type="dxa" w:w="8712"/>
            <w:tcMar>
              <w:top w:w="80" w:type="dxa"/>
              <w:start w:w="100" w:type="dxa"/>
              <w:bottom w:w="80" w:type="dxa"/>
              <w:end w:w="100" w:type="dxa"/>
            </w:tcMar>
          </w:tcPr>
          <w:p>
            <w:r/>
          </w:p>
        </w:tc>
      </w:tr>
    </w:tbl>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Futura Book" w:hAnsi="Futura Book"/>
        <w:color w:val="808080"/>
        <w:sz w:val="14"/>
      </w:rPr>
      <w:t xml:space="preserve">Rural Planning and Economic Development | PLAC 5500-001 / LPPP 5559-001 | Fall 2026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Futura Book" w:hAnsi="Futura Book"/>
      <w:color w:val="1F1F1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Futura Demi" w:hAnsi="Futura Demi"/>
      <w:b/>
      <w:bCs/>
      <w:color w:val="232D4B"/>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Futura Demi" w:hAnsi="Futura Demi"/>
      <w:b/>
      <w:bCs/>
      <w:color w:val="E57200"/>
      <w:sz w:val="24"/>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Futura Demi" w:hAnsi="Futura Demi"/>
      <w:b/>
      <w:bCs/>
      <w:color w:val="232D4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120"/>
      <w:contextualSpacing/>
    </w:pPr>
    <w:rPr>
      <w:rFonts w:asciiTheme="majorHAnsi" w:eastAsiaTheme="majorEastAsia" w:hAnsiTheme="majorHAnsi" w:cstheme="majorBidi" w:ascii="Futura Demi" w:hAnsi="Futura Demi"/>
      <w:b/>
      <w:color w:val="232D4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20" w:after="60"/>
    </w:pPr>
    <w:rPr>
      <w:rFonts w:asciiTheme="majorHAnsi" w:eastAsiaTheme="majorEastAsia" w:hAnsiTheme="majorHAnsi" w:cstheme="majorBidi" w:ascii="Futura Demi" w:hAnsi="Futura Demi"/>
      <w:b/>
      <w:i/>
      <w:iCs/>
      <w:color w:val="80808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Assignment 1: Serial Vision</dc:title>
  <dc:subject>Rural Planning and Economic Development</dc:subject>
  <dc:creator>Tyler Hinkle, AICP</dc:creator>
  <cp:keywords>rural planning; economic development; course template; UVA</cp:keywords>
  <dc:description>Built from the Fall 2026 syllabus and current course assignment sources.</dc:description>
  <cp:lastModifiedBy/>
  <cp:revision>1</cp:revision>
  <dcterms:created xsi:type="dcterms:W3CDTF">2013-12-23T23:15:00Z</dcterms:created>
  <dcterms:modified xsi:type="dcterms:W3CDTF">2013-12-23T23:15:00Z</dcterms:modified>
  <cp:category/>
</cp:coreProperties>
</file>