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6552"/>
        <w:gridCol w:w="3816"/>
      </w:tblGrid>
      <w:tr>
        <w:tc>
          <w:tcPr>
            <w:tcW w:type="dxa" w:w="5227"/>
            <w:vAlign w:val="center"/>
            <w:tcMar>
              <w:top w:w="0" w:type="dxa"/>
              <w:start w:w="0" w:type="dxa"/>
              <w:bottom w:w="0" w:type="dxa"/>
              <w:end w:w="0" w:type="dxa"/>
            </w:tcMar>
          </w:tcPr>
          <w:p>
            <w:pPr>
              <w:jc w:val="left"/>
            </w:pPr>
            <w:r>
              <w:drawing>
                <wp:inline xmlns:a="http://schemas.openxmlformats.org/drawingml/2006/main" xmlns:pic="http://schemas.openxmlformats.org/drawingml/2006/picture">
                  <wp:extent cx="2423160" cy="419064"/>
                  <wp:docPr id="1" name="Picture 1" descr="University of Virginia Frank Batten School mark"/>
                  <wp:cNvGraphicFramePr>
                    <a:graphicFrameLocks noChangeAspect="1"/>
                  </wp:cNvGraphicFramePr>
                  <a:graphic>
                    <a:graphicData uri="http://schemas.openxmlformats.org/drawingml/2006/picture">
                      <pic:pic>
                        <pic:nvPicPr>
                          <pic:cNvPr id="0" name="syllabus_brand_mark_1.png"/>
                          <pic:cNvPicPr/>
                        </pic:nvPicPr>
                        <pic:blipFill>
                          <a:blip r:embed="rId10"/>
                          <a:stretch>
                            <a:fillRect/>
                          </a:stretch>
                        </pic:blipFill>
                        <pic:spPr>
                          <a:xfrm>
                            <a:off x="0" y="0"/>
                            <a:ext cx="2423160" cy="419064"/>
                          </a:xfrm>
                          <a:prstGeom prst="rect"/>
                        </pic:spPr>
                      </pic:pic>
                    </a:graphicData>
                  </a:graphic>
                </wp:inline>
              </w:drawing>
            </w:r>
          </w:p>
        </w:tc>
        <w:tc>
          <w:tcPr>
            <w:tcW w:type="dxa" w:w="5227"/>
            <w:vAlign w:val="center"/>
            <w:tcMar>
              <w:top w:w="0" w:type="dxa"/>
              <w:start w:w="0" w:type="dxa"/>
              <w:bottom w:w="0" w:type="dxa"/>
              <w:end w:w="0" w:type="dxa"/>
            </w:tcMar>
          </w:tcPr>
          <w:p>
            <w:pPr>
              <w:jc w:val="right"/>
            </w:pPr>
            <w:r>
              <w:drawing>
                <wp:inline xmlns:a="http://schemas.openxmlformats.org/drawingml/2006/main" xmlns:pic="http://schemas.openxmlformats.org/drawingml/2006/picture">
                  <wp:extent cx="1554480" cy="372502"/>
                  <wp:docPr id="2" name="Picture 2" descr="University of Virginia School of Architecture mark"/>
                  <wp:cNvGraphicFramePr>
                    <a:graphicFrameLocks noChangeAspect="1"/>
                  </wp:cNvGraphicFramePr>
                  <a:graphic>
                    <a:graphicData uri="http://schemas.openxmlformats.org/drawingml/2006/picture">
                      <pic:pic>
                        <pic:nvPicPr>
                          <pic:cNvPr id="0" name="syllabus_brand_mark_2.png"/>
                          <pic:cNvPicPr/>
                        </pic:nvPicPr>
                        <pic:blipFill>
                          <a:blip r:embed="rId11"/>
                          <a:stretch>
                            <a:fillRect/>
                          </a:stretch>
                        </pic:blipFill>
                        <pic:spPr>
                          <a:xfrm>
                            <a:off x="0" y="0"/>
                            <a:ext cx="1554480" cy="372502"/>
                          </a:xfrm>
                          <a:prstGeom prst="rect"/>
                        </pic:spPr>
                      </pic:pic>
                    </a:graphicData>
                  </a:graphic>
                </wp:inline>
              </w:drawing>
            </w:r>
          </w:p>
        </w:tc>
      </w:tr>
    </w:tbl>
    <w:tbl>
      <w:tblPr>
        <w:tblW w:type="auto" w:w="0"/>
        <w:jc w:val="center"/>
        <w:tblLook w:firstColumn="1" w:firstRow="1" w:lastColumn="0" w:lastRow="0" w:noHBand="0" w:noVBand="1" w:val="04A0"/>
      </w:tblPr>
      <w:tblGrid>
        <w:gridCol w:w="10454"/>
      </w:tblGrid>
      <w:tr>
        <w:trPr>
          <w:cantSplit/>
          <w:trHeight w:val="57" w:hRule="atLeast"/>
        </w:trPr>
        <w:tc>
          <w:tcPr>
            <w:tcW w:type="dxa" w:w="10454"/>
            <w:shd w:fill="E57200"/>
            <w:tcMar>
              <w:top w:w="0" w:type="dxa"/>
              <w:start w:w="0" w:type="dxa"/>
              <w:bottom w:w="0" w:type="dxa"/>
              <w:end w:w="0" w:type="dxa"/>
            </w:tcMar>
          </w:tcPr>
          <w:p/>
        </w:tc>
      </w:tr>
    </w:tbl>
    <w:p>
      <w:pPr>
        <w:pStyle w:val="Title"/>
        <w:spacing w:before="140" w:after="20"/>
      </w:pPr>
      <w:r>
        <w:t>Individual Assignment 2: Conservation Analysis</w:t>
      </w:r>
    </w:p>
    <w:p>
      <w:pPr>
        <w:jc w:val="left"/>
      </w:pPr>
      <w:r>
        <w:rPr>
          <w:rFonts w:ascii="Futura Demi" w:hAnsi="Futura Demi"/>
          <w:b/>
          <w:color w:val="232D4B"/>
          <w:sz w:val="17"/>
        </w:rPr>
        <w:t>Rural Planning and Economic Development | PLAC 5500-001 / LPPP 5559-001 | Fall 2026</w:t>
      </w:r>
    </w:p>
    <w:p>
      <w:pPr>
        <w:pStyle w:val="Subtitle"/>
      </w:pPr>
      <w:r>
        <w:t>Assignment brief and working template</w:t>
      </w:r>
    </w:p>
    <w:tbl>
      <w:tblPr>
        <w:tblW w:type="auto" w:w="0"/>
        <w:jc w:val="center"/>
        <w:tblLayout w:type="fixed"/>
        <w:tblLook w:firstColumn="1" w:firstRow="1" w:lastColumn="0" w:lastRow="0" w:noHBand="0" w:noVBand="1" w:val="04A0"/>
      </w:tblPr>
      <w:tblGrid>
        <w:gridCol w:w="7416"/>
        <w:gridCol w:w="3024"/>
      </w:tblGrid>
      <w:tr>
        <w:tc>
          <w:tcPr>
            <w:tcW w:type="dxa" w:w="5227"/>
            <w:shd w:fill="E8EEF5"/>
            <w:tcMar>
              <w:top w:w="70" w:type="dxa"/>
              <w:start w:w="100" w:type="dxa"/>
              <w:bottom w:w="70" w:type="dxa"/>
              <w:end w:w="100" w:type="dxa"/>
            </w:tcMar>
          </w:tcPr>
          <w:p>
            <w:r>
              <w:rPr>
                <w:rFonts w:ascii="Futura Demi" w:hAnsi="Futura Demi"/>
                <w:b/>
                <w:color w:val="232D4B"/>
                <w:sz w:val="17"/>
              </w:rPr>
              <w:t>DUE: October 14, 2026, at the start of class</w:t>
            </w:r>
          </w:p>
        </w:tc>
        <w:tc>
          <w:tcPr>
            <w:tcW w:type="dxa" w:w="5227"/>
            <w:shd w:fill="E8EEF5"/>
            <w:tcMar>
              <w:top w:w="70" w:type="dxa"/>
              <w:start w:w="100" w:type="dxa"/>
              <w:bottom w:w="70" w:type="dxa"/>
              <w:end w:w="100" w:type="dxa"/>
            </w:tcMar>
          </w:tcPr>
          <w:p>
            <w:r>
              <w:rPr>
                <w:rFonts w:ascii="Futura Demi" w:hAnsi="Futura Demi"/>
                <w:b/>
                <w:color w:val="232D4B"/>
                <w:sz w:val="17"/>
              </w:rPr>
              <w:t>COURSE WEIGHT: 3%</w:t>
            </w:r>
          </w:p>
        </w:tc>
      </w:tr>
    </w:tbl>
    <w:p>
      <w:pPr>
        <w:pStyle w:val="Heading1"/>
      </w:pPr>
      <w:r>
        <w:t>Purpose</w:t>
      </w:r>
    </w:p>
    <w:p>
      <w:r>
        <w:t>Map natural systems, working lands, recreation, conservation opportunities, or hazards, then connect the evidence to a proportionate planning response. This is a screening-level analysis, not an engineering determination or legal conclusion.</w:t>
      </w:r>
    </w:p>
    <w:p>
      <w:pPr>
        <w:pStyle w:val="Heading1"/>
      </w:pPr>
      <w:r>
        <w:t>The class will provide</w:t>
      </w:r>
    </w:p>
    <w:p>
      <w:pPr>
        <w:pStyle w:val="ListBullet"/>
        <w:spacing w:after="40"/>
      </w:pPr>
      <w:r>
        <w:t>In-class demonstration.</w:t>
      </w:r>
    </w:p>
    <w:p>
      <w:pPr>
        <w:pStyle w:val="ListBullet"/>
        <w:spacing w:after="40"/>
      </w:pPr>
      <w:r>
        <w:t>Instructor-provided regional data and conservation analysis tool.</w:t>
      </w:r>
    </w:p>
    <w:p>
      <w:pPr>
        <w:pStyle w:val="ListBullet"/>
        <w:spacing w:after="40"/>
      </w:pPr>
      <w:r>
        <w:t>Examples, work time, layer/provenance guide, and rubric.</w:t>
      </w:r>
    </w:p>
    <w:p>
      <w:pPr>
        <w:pStyle w:val="Heading1"/>
      </w:pPr>
      <w:r>
        <w:t>What to submit</w:t>
      </w:r>
    </w:p>
    <w:p>
      <w:pPr>
        <w:ind w:left="173" w:hanging="173"/>
      </w:pPr>
      <w:r>
        <w:rPr>
          <w:rFonts w:ascii="Segoe UI Symbol" w:hAnsi="Segoe UI Symbol"/>
        </w:rPr>
        <w:t xml:space="preserve">□ </w:t>
      </w:r>
      <w:r>
        <w:t>Accessible PDF map or map set with legend, north arrow, actual scale, readable labels, source/date note, and limitations.</w:t>
      </w:r>
    </w:p>
    <w:p>
      <w:pPr>
        <w:ind w:left="173" w:hanging="173"/>
      </w:pPr>
      <w:r>
        <w:rPr>
          <w:rFonts w:ascii="Segoe UI Symbol" w:hAnsi="Segoe UI Symbol"/>
        </w:rPr>
        <w:t xml:space="preserve">□ </w:t>
      </w:r>
      <w:r>
        <w:t>Planning question and study extent.</w:t>
      </w:r>
    </w:p>
    <w:p>
      <w:pPr>
        <w:ind w:left="173" w:hanging="173"/>
      </w:pPr>
      <w:r>
        <w:rPr>
          <w:rFonts w:ascii="Segoe UI Symbol" w:hAnsi="Segoe UI Symbol"/>
        </w:rPr>
        <w:t xml:space="preserve">□ </w:t>
      </w:r>
      <w:r>
        <w:t>Layer inventory with source, date, units, coverage, resolution or classification, limitations, and intended use.</w:t>
      </w:r>
    </w:p>
    <w:p>
      <w:pPr>
        <w:ind w:left="173" w:hanging="173"/>
      </w:pPr>
      <w:r>
        <w:rPr>
          <w:rFonts w:ascii="Segoe UI Symbol" w:hAnsi="Segoe UI Symbol"/>
        </w:rPr>
        <w:t xml:space="preserve">□ </w:t>
      </w:r>
      <w:r>
        <w:t>Required slope classes: 15% to below 20%; 20% to below 25%; 25% or above.</w:t>
      </w:r>
    </w:p>
    <w:p>
      <w:pPr>
        <w:ind w:left="173" w:hanging="173"/>
      </w:pPr>
      <w:r>
        <w:rPr>
          <w:rFonts w:ascii="Segoe UI Symbol" w:hAnsi="Segoe UI Symbol"/>
        </w:rPr>
        <w:t xml:space="preserve">□ </w:t>
      </w:r>
      <w:r>
        <w:t>Overlap or relationship analysis tied to mapped locations.</w:t>
      </w:r>
    </w:p>
    <w:p>
      <w:pPr>
        <w:ind w:left="173" w:hanging="173"/>
      </w:pPr>
      <w:r>
        <w:rPr>
          <w:rFonts w:ascii="Segoe UI Symbol" w:hAnsi="Segoe UI Symbol"/>
        </w:rPr>
        <w:t xml:space="preserve">□ </w:t>
      </w:r>
      <w:r>
        <w:t>Alternative or response comparison, plain-language recommendation, and field or staff verification need.</w:t>
      </w:r>
    </w:p>
    <w:p>
      <w:pPr>
        <w:ind w:left="173" w:hanging="173"/>
      </w:pPr>
      <w:r>
        <w:rPr>
          <w:rFonts w:ascii="Segoe UI Symbol" w:hAnsi="Segoe UI Symbol"/>
        </w:rPr>
        <w:t xml:space="preserve">□ </w:t>
      </w:r>
      <w:r>
        <w:t>Implication for the community's zoning and subdivision code, or an explanation of why the evidence does not justify a change.</w:t>
      </w:r>
    </w:p>
    <w:p>
      <w:pPr>
        <w:ind w:left="173" w:hanging="173"/>
      </w:pPr>
      <w:r>
        <w:rPr>
          <w:rFonts w:ascii="Segoe UI Symbol" w:hAnsi="Segoe UI Symbol"/>
        </w:rPr>
        <w:t xml:space="preserve">□ </w:t>
      </w:r>
      <w:r>
        <w:t>Editable map or project file when available and useful for review.</w:t>
      </w:r>
    </w:p>
    <w:p>
      <w:pPr>
        <w:pStyle w:val="Heading1"/>
      </w:pPr>
      <w:r>
        <w:t>Recommended workflow</w:t>
      </w:r>
    </w:p>
    <w:p>
      <w:r>
        <w:t>1. State the decision, study area, affected resource or development issue, and why mapping will help.</w:t>
      </w:r>
    </w:p>
    <w:p>
      <w:r>
        <w:t>2. Audit source, date, units, coverage, resolution, and limitations before analysis.</w:t>
      </w:r>
    </w:p>
    <w:p>
      <w:r>
        <w:t>3. Prepare nonoverlapping slope classes and preserve missing elevation as missing.</w:t>
      </w:r>
    </w:p>
    <w:p>
      <w:r>
        <w:t>4. Select only layers that answer the question.</w:t>
      </w:r>
    </w:p>
    <w:p>
      <w:r>
        <w:t>5. Identify overlaps, proximity, conflicts, opportunities, and gaps without treating proximity as proof of causation.</w:t>
      </w:r>
    </w:p>
    <w:p>
      <w:r>
        <w:t>6. Compare proportionate responses.</w:t>
      </w:r>
    </w:p>
    <w:p>
      <w:r>
        <w:t>7. Explain the implication and required verification.</w:t>
      </w:r>
    </w:p>
    <w:p>
      <w:r>
        <w:br w:type="page"/>
      </w:r>
    </w:p>
    <w:p>
      <w:pPr>
        <w:pStyle w:val="Heading1"/>
      </w:pPr>
      <w:r>
        <w:t>Working pages</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Planning question: What decision, resource, development issue, and study extent will the analysis address?</w:t>
            </w:r>
          </w:p>
        </w:tc>
      </w:tr>
      <w:tr>
        <w:trPr>
          <w:cantSplit/>
          <w:trHeight w:val="1007"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Layer selection: List each chosen layer and explain why it belongs. Use the Excel layer inventory for full provenance.</w:t>
            </w:r>
          </w:p>
        </w:tc>
      </w:tr>
      <w:tr>
        <w:trPr>
          <w:cantSplit/>
          <w:trHeight w:val="1512"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Spatial relationships: Record overlaps, proximity, conflicts, opportunities, missing coverage, and locations that require field or staff verification.</w:t>
            </w:r>
          </w:p>
        </w:tc>
      </w:tr>
      <w:tr>
        <w:trPr>
          <w:cantSplit/>
          <w:trHeight w:val="1728"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Alternatives: Compare no action, field verification, avoidance, clustering, conservation design, easement, subdivision standard, zoning concept, infrastructure change, or further study as relevant.</w:t>
            </w:r>
          </w:p>
        </w:tc>
      </w:tr>
      <w:tr>
        <w:trPr>
          <w:cantSplit/>
          <w:trHeight w:val="1655"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Recommendation and code implication: State a proportionate planning response, the related zoning/subdivision issue, what the map cannot establish, and the next verification step.</w:t>
            </w:r>
          </w:p>
        </w:tc>
      </w:tr>
      <w:tr>
        <w:trPr>
          <w:cantSplit/>
          <w:trHeight w:val="1512" w:hRule="atLeast"/>
        </w:trPr>
        <w:tc>
          <w:tcPr>
            <w:tcW w:type="dxa" w:w="10454"/>
            <w:shd w:fill="FFFFFF"/>
            <w:tcMar>
              <w:top w:w="80" w:type="dxa"/>
              <w:start w:w="100" w:type="dxa"/>
              <w:bottom w:w="80" w:type="dxa"/>
              <w:end w:w="100" w:type="dxa"/>
            </w:tcMar>
          </w:tcPr>
          <w:p>
            <w:r/>
          </w:p>
        </w:tc>
      </w:tr>
    </w:tbl>
    <w:p>
      <w:pPr>
        <w:pStyle w:val="Heading1"/>
      </w:pPr>
      <w:r>
        <w:t>Submission self-check</w:t>
      </w:r>
    </w:p>
    <w:p>
      <w:pPr>
        <w:ind w:left="173" w:hanging="173"/>
      </w:pPr>
      <w:r>
        <w:rPr>
          <w:rFonts w:ascii="Segoe UI Symbol" w:hAnsi="Segoe UI Symbol"/>
        </w:rPr>
        <w:t xml:space="preserve">□ </w:t>
      </w:r>
      <w:r>
        <w:t>Slope classes use 15% to below 20%, 20% to below 25%, and 25% or above.</w:t>
      </w:r>
    </w:p>
    <w:p>
      <w:pPr>
        <w:ind w:left="173" w:hanging="173"/>
      </w:pPr>
      <w:r>
        <w:rPr>
          <w:rFonts w:ascii="Segoe UI Symbol" w:hAnsi="Segoe UI Symbol"/>
        </w:rPr>
        <w:t xml:space="preserve">□ </w:t>
      </w:r>
      <w:r>
        <w:t>Missing data is not shown as zero, flat, or no feature.</w:t>
      </w:r>
    </w:p>
    <w:p>
      <w:pPr>
        <w:ind w:left="173" w:hanging="173"/>
      </w:pPr>
      <w:r>
        <w:rPr>
          <w:rFonts w:ascii="Segoe UI Symbol" w:hAnsi="Segoe UI Symbol"/>
        </w:rPr>
        <w:t xml:space="preserve">□ </w:t>
      </w:r>
      <w:r>
        <w:t>Map scale is actual, not decorative.</w:t>
      </w:r>
    </w:p>
    <w:p>
      <w:pPr>
        <w:ind w:left="173" w:hanging="173"/>
      </w:pPr>
      <w:r>
        <w:rPr>
          <w:rFonts w:ascii="Segoe UI Symbol" w:hAnsi="Segoe UI Symbol"/>
        </w:rPr>
        <w:t xml:space="preserve">□ </w:t>
      </w:r>
      <w:r>
        <w:t>Legend, labels, sources, dates, and limitations are readable.</w:t>
      </w:r>
    </w:p>
    <w:p>
      <w:pPr>
        <w:ind w:left="173" w:hanging="173"/>
      </w:pPr>
      <w:r>
        <w:rPr>
          <w:rFonts w:ascii="Segoe UI Symbol" w:hAnsi="Segoe UI Symbol"/>
        </w:rPr>
        <w:t xml:space="preserve">□ </w:t>
      </w:r>
      <w:r>
        <w:t>The recommendation distinguishes mapped evidence, inference, uncertainty, and professional verification.</w:t>
      </w:r>
    </w:p>
    <w:p>
      <w:pPr>
        <w:pStyle w:val="Heading1"/>
      </w:pPr>
      <w:r>
        <w:t>AI, collaboration, and individual responsibility</w:t>
      </w:r>
    </w:p>
    <w:p>
      <w:r>
        <w:t>You may use the supplied data, model, and tools and discuss methods with classmates. Shared inputs and the same correct calculation are not duplicate completed assignments. Your observations, analytical decisions, interpretation, and presentation must be your own. Disclose material AI assistance, verify the work, and be ready to explain every method and choice. Do not place restricted client or personal data in public AI tools.</w:t>
      </w:r>
    </w:p>
    <w:p>
      <w:pPr>
        <w:pStyle w:val="Heading2"/>
      </w:pPr>
      <w:r>
        <w:t>Honor pledge and authorship</w:t>
      </w:r>
    </w:p>
    <w:p>
      <w:r>
        <w:t>Write and sign the exact pledge below for individual assignments and papers.</w:t>
      </w:r>
    </w:p>
    <w:p>
      <w:pPr>
        <w:ind w:left="317"/>
      </w:pPr>
      <w:r>
        <w:rPr>
          <w:i/>
        </w:rPr>
        <w:t>"I pledge that I have neither given nor received help on this examination (quiz, assignment, etc.)."</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656"/>
        <w:gridCol w:w="8712"/>
      </w:tblGrid>
      <w:tr>
        <w:trPr>
          <w:cantSplit/>
          <w:trHeight w:val="489" w:hRule="atLeast"/>
          <w:tblHeader w:val="true"/>
        </w:trPr>
        <w:tc>
          <w:tcPr>
            <w:tcW w:type="dxa" w:w="1656"/>
            <w:shd w:fill="E8EEF5"/>
            <w:tcMar>
              <w:top w:w="80" w:type="dxa"/>
              <w:start w:w="100" w:type="dxa"/>
              <w:bottom w:w="80" w:type="dxa"/>
              <w:end w:w="100" w:type="dxa"/>
            </w:tcMar>
          </w:tcPr>
          <w:p>
            <w:r>
              <w:rPr>
                <w:rFonts w:ascii="Futura Demi" w:hAnsi="Futura Demi"/>
                <w:b/>
                <w:color w:val="232D4B"/>
              </w:rPr>
              <w:t>Student</w:t>
            </w:r>
          </w:p>
        </w:tc>
        <w:tc>
          <w:tcPr>
            <w:tcW w:type="dxa" w:w="8712"/>
            <w:tcMar>
              <w:top w:w="80" w:type="dxa"/>
              <w:start w:w="100" w:type="dxa"/>
              <w:bottom w:w="80" w:type="dxa"/>
              <w:end w:w="100" w:type="dxa"/>
            </w:tcMar>
          </w:tcPr>
          <w:p>
            <w:r/>
          </w:p>
        </w:tc>
      </w:tr>
      <w:tr>
        <w:trPr>
          <w:cantSplit/>
          <w:trHeight w:val="489" w:hRule="atLeast"/>
        </w:trPr>
        <w:tc>
          <w:tcPr>
            <w:tcW w:type="dxa" w:w="1656"/>
            <w:shd w:fill="E8EEF5"/>
            <w:tcMar>
              <w:top w:w="80" w:type="dxa"/>
              <w:start w:w="100" w:type="dxa"/>
              <w:bottom w:w="80" w:type="dxa"/>
              <w:end w:w="100" w:type="dxa"/>
            </w:tcMar>
          </w:tcPr>
          <w:p>
            <w:r>
              <w:rPr>
                <w:rFonts w:ascii="Futura Demi" w:hAnsi="Futura Demi"/>
                <w:b/>
                <w:color w:val="232D4B"/>
              </w:rPr>
              <w:t>Signature</w:t>
            </w:r>
          </w:p>
        </w:tc>
        <w:tc>
          <w:tcPr>
            <w:tcW w:type="dxa" w:w="8712"/>
            <w:tcMar>
              <w:top w:w="80" w:type="dxa"/>
              <w:start w:w="100" w:type="dxa"/>
              <w:bottom w:w="80" w:type="dxa"/>
              <w:end w:w="100" w:type="dxa"/>
            </w:tcMar>
          </w:tcPr>
          <w:p>
            <w:r/>
          </w:p>
        </w:tc>
      </w:tr>
      <w:tr>
        <w:trPr>
          <w:cantSplit/>
          <w:trHeight w:val="489" w:hRule="atLeast"/>
        </w:trPr>
        <w:tc>
          <w:tcPr>
            <w:tcW w:type="dxa" w:w="1656"/>
            <w:shd w:fill="E8EEF5"/>
            <w:tcMar>
              <w:top w:w="80" w:type="dxa"/>
              <w:start w:w="100" w:type="dxa"/>
              <w:bottom w:w="80" w:type="dxa"/>
              <w:end w:w="100" w:type="dxa"/>
            </w:tcMar>
          </w:tcPr>
          <w:p>
            <w:r>
              <w:rPr>
                <w:rFonts w:ascii="Futura Demi" w:hAnsi="Futura Demi"/>
                <w:b/>
                <w:color w:val="232D4B"/>
              </w:rPr>
              <w:t>Date</w:t>
            </w:r>
          </w:p>
        </w:tc>
        <w:tc>
          <w:tcPr>
            <w:tcW w:type="dxa" w:w="8712"/>
            <w:tcMar>
              <w:top w:w="80" w:type="dxa"/>
              <w:start w:w="100" w:type="dxa"/>
              <w:bottom w:w="80" w:type="dxa"/>
              <w:end w:w="100" w:type="dxa"/>
            </w:tcMar>
          </w:tcPr>
          <w:p>
            <w:r/>
          </w:p>
        </w:tc>
      </w:tr>
    </w:tbl>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Futura Book" w:hAnsi="Futura Book"/>
        <w:color w:val="808080"/>
        <w:sz w:val="14"/>
      </w:rPr>
      <w:t xml:space="preserve">Rural Planning and Economic Development | PLAC 5500-001 / LPPP 5559-001 | Fall 2026 |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5" w:lineRule="auto"/>
    </w:pPr>
    <w:rPr>
      <w:rFonts w:ascii="Futura Book" w:hAnsi="Futura Book"/>
      <w:color w:val="1F1F1F"/>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ascii="Futura Demi" w:hAnsi="Futura Demi"/>
      <w:b/>
      <w:bCs/>
      <w:color w:val="232D4B"/>
      <w:sz w:val="32"/>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Futura Demi" w:hAnsi="Futura Demi"/>
      <w:b/>
      <w:bCs/>
      <w:color w:val="E57200"/>
      <w:sz w:val="24"/>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Futura Demi" w:hAnsi="Futura Demi"/>
      <w:b/>
      <w:bCs/>
      <w:color w:val="232D4B"/>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before="120"/>
      <w:contextualSpacing/>
    </w:pPr>
    <w:rPr>
      <w:rFonts w:asciiTheme="majorHAnsi" w:eastAsiaTheme="majorEastAsia" w:hAnsiTheme="majorHAnsi" w:cstheme="majorBidi" w:ascii="Futura Demi" w:hAnsi="Futura Demi"/>
      <w:b/>
      <w:color w:val="232D4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20" w:after="60"/>
    </w:pPr>
    <w:rPr>
      <w:rFonts w:asciiTheme="majorHAnsi" w:eastAsiaTheme="majorEastAsia" w:hAnsiTheme="majorHAnsi" w:cstheme="majorBidi" w:ascii="Futura Demi" w:hAnsi="Futura Demi"/>
      <w:b/>
      <w:i/>
      <w:iCs/>
      <w:color w:val="80808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Individual Assignment 2: Conservation Analysis</dc:title>
  <dc:subject>Rural Planning and Economic Development</dc:subject>
  <dc:creator>Tyler Hinkle, AICP</dc:creator>
  <cp:keywords>rural planning; economic development; course template; UVA</cp:keywords>
  <dc:description>Built from the Fall 2026 syllabus and current course assignment sources.</dc:description>
  <cp:lastModifiedBy/>
  <cp:revision>1</cp:revision>
  <dcterms:created xsi:type="dcterms:W3CDTF">2013-12-23T23:15:00Z</dcterms:created>
  <dcterms:modified xsi:type="dcterms:W3CDTF">2013-12-23T23:15:00Z</dcterms:modified>
  <cp:category/>
</cp:coreProperties>
</file>