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552"/>
        <w:gridCol w:w="3816"/>
      </w:tblGrid>
      <w:tr>
        <w:tc>
          <w:tcPr>
            <w:tcW w:type="dxa" w:w="5227"/>
            <w:vAlign w:val="center"/>
            <w:tcMar>
              <w:top w:w="0" w:type="dxa"/>
              <w:start w:w="0" w:type="dxa"/>
              <w:bottom w:w="0" w:type="dxa"/>
              <w:end w:w="0" w:type="dxa"/>
            </w:tcMar>
          </w:tcPr>
          <w:p>
            <w:pPr>
              <w:jc w:val="left"/>
            </w:pPr>
            <w:r>
              <w:drawing>
                <wp:inline xmlns:a="http://schemas.openxmlformats.org/drawingml/2006/main" xmlns:pic="http://schemas.openxmlformats.org/drawingml/2006/picture">
                  <wp:extent cx="2423160" cy="419064"/>
                  <wp:docPr id="1" name="Picture 1" descr="University of Virginia Frank Batten School mark"/>
                  <wp:cNvGraphicFramePr>
                    <a:graphicFrameLocks noChangeAspect="1"/>
                  </wp:cNvGraphicFramePr>
                  <a:graphic>
                    <a:graphicData uri="http://schemas.openxmlformats.org/drawingml/2006/picture">
                      <pic:pic>
                        <pic:nvPicPr>
                          <pic:cNvPr id="0" name="syllabus_brand_mark_1.png"/>
                          <pic:cNvPicPr/>
                        </pic:nvPicPr>
                        <pic:blipFill>
                          <a:blip r:embed="rId10"/>
                          <a:stretch>
                            <a:fillRect/>
                          </a:stretch>
                        </pic:blipFill>
                        <pic:spPr>
                          <a:xfrm>
                            <a:off x="0" y="0"/>
                            <a:ext cx="2423160" cy="419064"/>
                          </a:xfrm>
                          <a:prstGeom prst="rect"/>
                        </pic:spPr>
                      </pic:pic>
                    </a:graphicData>
                  </a:graphic>
                </wp:inline>
              </w:drawing>
            </w:r>
          </w:p>
        </w:tc>
        <w:tc>
          <w:tcPr>
            <w:tcW w:type="dxa" w:w="5227"/>
            <w:vAlign w:val="center"/>
            <w:tcMar>
              <w:top w:w="0" w:type="dxa"/>
              <w:start w:w="0" w:type="dxa"/>
              <w:bottom w:w="0" w:type="dxa"/>
              <w:end w:w="0" w:type="dxa"/>
            </w:tcMar>
          </w:tcPr>
          <w:p>
            <w:pPr>
              <w:jc w:val="right"/>
            </w:pPr>
            <w:r>
              <w:drawing>
                <wp:inline xmlns:a="http://schemas.openxmlformats.org/drawingml/2006/main" xmlns:pic="http://schemas.openxmlformats.org/drawingml/2006/picture">
                  <wp:extent cx="1554480" cy="372502"/>
                  <wp:docPr id="2" name="Picture 2" descr="University of Virginia School of Architecture mark"/>
                  <wp:cNvGraphicFramePr>
                    <a:graphicFrameLocks noChangeAspect="1"/>
                  </wp:cNvGraphicFramePr>
                  <a:graphic>
                    <a:graphicData uri="http://schemas.openxmlformats.org/drawingml/2006/picture">
                      <pic:pic>
                        <pic:nvPicPr>
                          <pic:cNvPr id="0" name="syllabus_brand_mark_2.png"/>
                          <pic:cNvPicPr/>
                        </pic:nvPicPr>
                        <pic:blipFill>
                          <a:blip r:embed="rId11"/>
                          <a:stretch>
                            <a:fillRect/>
                          </a:stretch>
                        </pic:blipFill>
                        <pic:spPr>
                          <a:xfrm>
                            <a:off x="0" y="0"/>
                            <a:ext cx="1554480" cy="372502"/>
                          </a:xfrm>
                          <a:prstGeom prst="rect"/>
                        </pic:spPr>
                      </pic:pic>
                    </a:graphicData>
                  </a:graphic>
                </wp:inline>
              </w:drawing>
            </w:r>
          </w:p>
        </w:tc>
      </w:tr>
    </w:tbl>
    <w:tbl>
      <w:tblPr>
        <w:tblW w:type="auto" w:w="0"/>
        <w:jc w:val="center"/>
        <w:tblLook w:firstColumn="1" w:firstRow="1" w:lastColumn="0" w:lastRow="0" w:noHBand="0" w:noVBand="1" w:val="04A0"/>
      </w:tblPr>
      <w:tblGrid>
        <w:gridCol w:w="10454"/>
      </w:tblGrid>
      <w:tr>
        <w:trPr>
          <w:cantSplit/>
          <w:trHeight w:val="57" w:hRule="atLeast"/>
        </w:trPr>
        <w:tc>
          <w:tcPr>
            <w:tcW w:type="dxa" w:w="10454"/>
            <w:shd w:fill="E57200"/>
            <w:tcMar>
              <w:top w:w="0" w:type="dxa"/>
              <w:start w:w="0" w:type="dxa"/>
              <w:bottom w:w="0" w:type="dxa"/>
              <w:end w:w="0" w:type="dxa"/>
            </w:tcMar>
          </w:tcPr>
          <w:p/>
        </w:tc>
      </w:tr>
    </w:tbl>
    <w:p>
      <w:pPr>
        <w:pStyle w:val="Title"/>
        <w:spacing w:before="140" w:after="20"/>
      </w:pPr>
      <w:r>
        <w:t>Individual Assignment 4: Analysis of Your Choice</w:t>
      </w:r>
    </w:p>
    <w:p>
      <w:pPr>
        <w:jc w:val="left"/>
      </w:pPr>
      <w:r>
        <w:rPr>
          <w:rFonts w:ascii="Futura Demi" w:hAnsi="Futura Demi"/>
          <w:b/>
          <w:color w:val="232D4B"/>
          <w:sz w:val="17"/>
        </w:rPr>
        <w:t>Rural Planning and Economic Development | PLAC 5500-001 / LPPP 5559-001 | Fall 2026</w:t>
      </w:r>
    </w:p>
    <w:p>
      <w:pPr>
        <w:pStyle w:val="Subtitle"/>
      </w:pPr>
      <w:r>
        <w:t>Assignment brief and working template</w:t>
      </w:r>
    </w:p>
    <w:tbl>
      <w:tblPr>
        <w:tblW w:type="auto" w:w="0"/>
        <w:jc w:val="center"/>
        <w:tblLayout w:type="fixed"/>
        <w:tblLook w:firstColumn="1" w:firstRow="1" w:lastColumn="0" w:lastRow="0" w:noHBand="0" w:noVBand="1" w:val="04A0"/>
      </w:tblPr>
      <w:tblGrid>
        <w:gridCol w:w="7416"/>
        <w:gridCol w:w="3024"/>
      </w:tblGrid>
      <w:tr>
        <w:tc>
          <w:tcPr>
            <w:tcW w:type="dxa" w:w="5227"/>
            <w:shd w:fill="E8EEF5"/>
            <w:tcMar>
              <w:top w:w="70" w:type="dxa"/>
              <w:start w:w="100" w:type="dxa"/>
              <w:bottom w:w="70" w:type="dxa"/>
              <w:end w:w="100" w:type="dxa"/>
            </w:tcMar>
          </w:tcPr>
          <w:p>
            <w:r>
              <w:rPr>
                <w:rFonts w:ascii="Futura Demi" w:hAnsi="Futura Demi"/>
                <w:b/>
                <w:color w:val="232D4B"/>
                <w:sz w:val="17"/>
              </w:rPr>
              <w:t>DUE: November 18, 2026, at the start of class</w:t>
            </w:r>
          </w:p>
        </w:tc>
        <w:tc>
          <w:tcPr>
            <w:tcW w:type="dxa" w:w="5227"/>
            <w:shd w:fill="E8EEF5"/>
            <w:tcMar>
              <w:top w:w="70" w:type="dxa"/>
              <w:start w:w="100" w:type="dxa"/>
              <w:bottom w:w="70" w:type="dxa"/>
              <w:end w:w="100" w:type="dxa"/>
            </w:tcMar>
          </w:tcPr>
          <w:p>
            <w:r>
              <w:rPr>
                <w:rFonts w:ascii="Futura Demi" w:hAnsi="Futura Demi"/>
                <w:b/>
                <w:color w:val="232D4B"/>
                <w:sz w:val="17"/>
              </w:rPr>
              <w:t>COURSE WEIGHT: 3%</w:t>
            </w:r>
          </w:p>
        </w:tc>
      </w:tr>
    </w:tbl>
    <w:p>
      <w:pPr>
        <w:pStyle w:val="Heading1"/>
      </w:pPr>
      <w:r>
        <w:t>Purpose</w:t>
      </w:r>
    </w:p>
    <w:p>
      <w:r>
        <w:t>Choose one approved method that adds useful evidence to the partner-community project. Select the method that fits the client decision, available evidence, time, and your role. Confirm the tailored scope with the instructor before production.</w:t>
      </w:r>
    </w:p>
    <w:p>
      <w:pPr>
        <w:pStyle w:val="Heading1"/>
      </w:pPr>
      <w:r>
        <w:t>The class will provide</w:t>
      </w:r>
    </w:p>
    <w:p>
      <w:pPr>
        <w:pStyle w:val="ListBullet"/>
        <w:spacing w:after="40"/>
      </w:pPr>
      <w:r>
        <w:t>Six complete choice modules, examples, and source/testing guidance.</w:t>
      </w:r>
    </w:p>
    <w:p>
      <w:pPr>
        <w:pStyle w:val="ListBullet"/>
        <w:spacing w:after="40"/>
      </w:pPr>
      <w:r>
        <w:t>Data, tool, or model support as relevant.</w:t>
      </w:r>
    </w:p>
    <w:p>
      <w:pPr>
        <w:pStyle w:val="ListBullet"/>
        <w:spacing w:after="40"/>
      </w:pPr>
      <w:r>
        <w:t>Comparison templates, work time, and rubric.</w:t>
      </w:r>
    </w:p>
    <w:p>
      <w:pPr>
        <w:pStyle w:val="Heading1"/>
      </w:pPr>
      <w:r>
        <w:t>What to submit</w:t>
      </w:r>
    </w:p>
    <w:p>
      <w:pPr>
        <w:ind w:left="173" w:hanging="173"/>
      </w:pPr>
      <w:r>
        <w:rPr>
          <w:rFonts w:ascii="Segoe UI Symbol" w:hAnsi="Segoe UI Symbol"/>
        </w:rPr>
        <w:t xml:space="preserve">□ </w:t>
      </w:r>
      <w:r>
        <w:t>Accessible memo, PDF, or equivalent individual product using one approved option.</w:t>
      </w:r>
    </w:p>
    <w:p>
      <w:pPr>
        <w:ind w:left="173" w:hanging="173"/>
      </w:pPr>
      <w:r>
        <w:rPr>
          <w:rFonts w:ascii="Segoe UI Symbol" w:hAnsi="Segoe UI Symbol"/>
        </w:rPr>
        <w:t xml:space="preserve">□ </w:t>
      </w:r>
      <w:r>
        <w:t>Method-selection rationale naming the client decision, evidence gap, user, scope, and why this method fits.</w:t>
      </w:r>
    </w:p>
    <w:p>
      <w:pPr>
        <w:ind w:left="173" w:hanging="173"/>
      </w:pPr>
      <w:r>
        <w:rPr>
          <w:rFonts w:ascii="Segoe UI Symbol" w:hAnsi="Segoe UI Symbol"/>
        </w:rPr>
        <w:t xml:space="preserve">□ </w:t>
      </w:r>
      <w:r>
        <w:t>Comparable units and common criteria; context map or visual where useful.</w:t>
      </w:r>
    </w:p>
    <w:p>
      <w:pPr>
        <w:ind w:left="173" w:hanging="173"/>
      </w:pPr>
      <w:r>
        <w:rPr>
          <w:rFonts w:ascii="Segoe UI Symbol" w:hAnsi="Segoe UI Symbol"/>
        </w:rPr>
        <w:t xml:space="preserve">□ </w:t>
      </w:r>
      <w:r>
        <w:t>Source and assumptions ledger distinguishing source evidence, observation, inference, and unknowns.</w:t>
      </w:r>
    </w:p>
    <w:p>
      <w:pPr>
        <w:ind w:left="173" w:hanging="173"/>
      </w:pPr>
      <w:r>
        <w:rPr>
          <w:rFonts w:ascii="Segoe UI Symbol" w:hAnsi="Segoe UI Symbol"/>
        </w:rPr>
        <w:t xml:space="preserve">□ </w:t>
      </w:r>
      <w:r>
        <w:t>Comparison or analysis; at least one plausible alternative explanation or response; one proportionate recommendation; and a next action with lead, needed input, early measure, and limitation.</w:t>
      </w:r>
    </w:p>
    <w:p>
      <w:pPr>
        <w:ind w:left="173" w:hanging="173"/>
      </w:pPr>
      <w:r>
        <w:rPr>
          <w:rFonts w:ascii="Segoe UI Symbol" w:hAnsi="Segoe UI Symbol"/>
        </w:rPr>
        <w:t xml:space="preserve">□ </w:t>
      </w:r>
      <w:r>
        <w:t>Editable comparison table, tool, or source file where relevant.</w:t>
      </w:r>
    </w:p>
    <w:p>
      <w:pPr>
        <w:pStyle w:val="Heading1"/>
      </w:pPr>
      <w:r>
        <w:t>Recommended workflow</w:t>
      </w:r>
    </w:p>
    <w:p>
      <w:r>
        <w:t>1. Start with the project decision and evidence gap.</w:t>
      </w:r>
    </w:p>
    <w:p>
      <w:r>
        <w:t>2. Compare the approved methods by relevance, data, time, uncertainty, and usefulness; confirm the selected scope.</w:t>
      </w:r>
    </w:p>
    <w:p>
      <w:r>
        <w:t>3. Define comparable cases, places, sites, segments, sectors, users, or scenarios.</w:t>
      </w:r>
    </w:p>
    <w:p>
      <w:r>
        <w:t>4. Gather dated, traceable evidence without inventing missing client information.</w:t>
      </w:r>
    </w:p>
    <w:p>
      <w:r>
        <w:t>5. Compare patterns, dependencies, tradeoffs, barriers, and an alternative explanation or response.</w:t>
      </w:r>
    </w:p>
    <w:p>
      <w:r>
        <w:t>6. Recommend one practical next step and state what would change the recommendation.</w:t>
      </w:r>
    </w:p>
    <w:p>
      <w:r>
        <w:br w:type="page"/>
      </w:r>
    </w:p>
    <w:p>
      <w:pPr>
        <w:pStyle w:val="Heading1"/>
      </w:pPr>
      <w:r>
        <w:t>Working pages</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Method selection: Choose: downtown vacancy/opportunity; community health/access; industry/workforce; multimodal mobility; street/network comparative analysis; or a modest coded/community-use tool. Explain fit.</w:t>
            </w:r>
          </w:p>
        </w:tc>
      </w:tr>
      <w:tr>
        <w:trPr>
          <w:cantSplit/>
          <w:trHeight w:val="1440"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Question, user, and scope: What decision will this help, for whom, across which bounded geography or cases?</w:t>
            </w:r>
          </w:p>
        </w:tc>
      </w:tr>
      <w:tr>
        <w:trPr>
          <w:cantSplit/>
          <w:trHeight w:val="1224"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Common criteria: List the same criteria and evidence that will be used across all cases or options.</w:t>
            </w:r>
          </w:p>
        </w:tc>
      </w:tr>
      <w:tr>
        <w:trPr>
          <w:cantSplit/>
          <w:trHeight w:val="1440"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Analysis and alternative: Record the pattern, comparison, dependencies, barriers, uncertainty, and at least one plausible alternative explanation or response.</w:t>
            </w:r>
          </w:p>
        </w:tc>
      </w:tr>
      <w:tr>
        <w:trPr>
          <w:cantSplit/>
          <w:trHeight w:val="1728"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Recommendation and implementation: Name one proportionate recommendation, lead, first action, needed input, early measure, limitation, and condition that could change it.</w:t>
            </w:r>
          </w:p>
        </w:tc>
      </w:tr>
      <w:tr>
        <w:trPr>
          <w:cantSplit/>
          <w:trHeight w:val="1584" w:hRule="atLeast"/>
        </w:trPr>
        <w:tc>
          <w:tcPr>
            <w:tcW w:type="dxa" w:w="10454"/>
            <w:shd w:fill="FFFFFF"/>
            <w:tcMar>
              <w:top w:w="80" w:type="dxa"/>
              <w:start w:w="100" w:type="dxa"/>
              <w:bottom w:w="80" w:type="dxa"/>
              <w:end w:w="100" w:type="dxa"/>
            </w:tcMar>
          </w:tcPr>
          <w:p>
            <w:r/>
          </w:p>
        </w:tc>
      </w:tr>
    </w:tbl>
    <w:p>
      <w:pPr>
        <w:pStyle w:val="Heading1"/>
      </w:pPr>
      <w:r>
        <w:t>Submission self-check</w:t>
      </w:r>
    </w:p>
    <w:p>
      <w:pPr>
        <w:ind w:left="173" w:hanging="173"/>
      </w:pPr>
      <w:r>
        <w:rPr>
          <w:rFonts w:ascii="Segoe UI Symbol" w:hAnsi="Segoe UI Symbol"/>
        </w:rPr>
        <w:t xml:space="preserve">□ </w:t>
      </w:r>
      <w:r>
        <w:t>The method is approved and directly improves a real client decision.</w:t>
      </w:r>
    </w:p>
    <w:p>
      <w:pPr>
        <w:ind w:left="173" w:hanging="173"/>
      </w:pPr>
      <w:r>
        <w:rPr>
          <w:rFonts w:ascii="Segoe UI Symbol" w:hAnsi="Segoe UI Symbol"/>
        </w:rPr>
        <w:t xml:space="preserve">□ </w:t>
      </w:r>
      <w:r>
        <w:t>The scope can be completed individually by the deadline.</w:t>
      </w:r>
    </w:p>
    <w:p>
      <w:pPr>
        <w:ind w:left="173" w:hanging="173"/>
      </w:pPr>
      <w:r>
        <w:rPr>
          <w:rFonts w:ascii="Segoe UI Symbol" w:hAnsi="Segoe UI Symbol"/>
        </w:rPr>
        <w:t xml:space="preserve">□ </w:t>
      </w:r>
      <w:r>
        <w:t>Cases and criteria are genuinely comparable.</w:t>
      </w:r>
    </w:p>
    <w:p>
      <w:pPr>
        <w:ind w:left="173" w:hanging="173"/>
      </w:pPr>
      <w:r>
        <w:rPr>
          <w:rFonts w:ascii="Segoe UI Symbol" w:hAnsi="Segoe UI Symbol"/>
        </w:rPr>
        <w:t xml:space="preserve">□ </w:t>
      </w:r>
      <w:r>
        <w:t>Evidence, observation, inference, assumption, and unknown are traceable.</w:t>
      </w:r>
    </w:p>
    <w:p>
      <w:pPr>
        <w:ind w:left="173" w:hanging="173"/>
      </w:pPr>
      <w:r>
        <w:rPr>
          <w:rFonts w:ascii="Segoe UI Symbol" w:hAnsi="Segoe UI Symbol"/>
        </w:rPr>
        <w:t xml:space="preserve">□ </w:t>
      </w:r>
      <w:r>
        <w:t>The recommendation is proportionate and implementable.</w:t>
      </w:r>
    </w:p>
    <w:p>
      <w:pPr>
        <w:ind w:left="173" w:hanging="173"/>
      </w:pPr>
      <w:r>
        <w:rPr>
          <w:rFonts w:ascii="Segoe UI Symbol" w:hAnsi="Segoe UI Symbol"/>
        </w:rPr>
        <w:t xml:space="preserve">□ </w:t>
      </w:r>
      <w:r>
        <w:t>The product is accessible and useful to the team or client.</w:t>
      </w:r>
    </w:p>
    <w:p>
      <w:pPr>
        <w:pStyle w:val="Heading1"/>
      </w:pPr>
      <w:r>
        <w:t>AI, collaboration, and individual responsibility</w:t>
      </w:r>
    </w:p>
    <w:p>
      <w:r>
        <w:t>You may use the supplied data, model, and tools and discuss methods with classmates. Shared inputs and the same correct calculation are not duplicate completed assignments. Your observations, analytical decisions, interpretation, and presentation must be your own. Disclose material AI assistance, verify the work, and be ready to explain every method and choice. Do not place restricted client or personal data in public AI tools.</w:t>
      </w:r>
    </w:p>
    <w:p>
      <w:pPr>
        <w:pStyle w:val="Heading2"/>
      </w:pPr>
      <w:r>
        <w:t>Honor pledge and authorship</w:t>
      </w:r>
    </w:p>
    <w:p>
      <w:r>
        <w:t>Write and sign the exact pledge below for individual assignments and papers.</w:t>
      </w:r>
    </w:p>
    <w:p>
      <w:pPr>
        <w:ind w:left="317"/>
      </w:pPr>
      <w:r>
        <w:rPr>
          <w:i/>
        </w:rPr>
        <w:t>"I pledge that I have neither given nor received help on this examination (quiz, assignment, etc.)."</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656"/>
        <w:gridCol w:w="8712"/>
      </w:tblGrid>
      <w:tr>
        <w:trPr>
          <w:cantSplit/>
          <w:trHeight w:val="489" w:hRule="atLeast"/>
          <w:tblHeader w:val="true"/>
        </w:trPr>
        <w:tc>
          <w:tcPr>
            <w:tcW w:type="dxa" w:w="1656"/>
            <w:shd w:fill="E8EEF5"/>
            <w:tcMar>
              <w:top w:w="80" w:type="dxa"/>
              <w:start w:w="100" w:type="dxa"/>
              <w:bottom w:w="80" w:type="dxa"/>
              <w:end w:w="100" w:type="dxa"/>
            </w:tcMar>
          </w:tcPr>
          <w:p>
            <w:r>
              <w:rPr>
                <w:rFonts w:ascii="Futura Demi" w:hAnsi="Futura Demi"/>
                <w:b/>
                <w:color w:val="232D4B"/>
              </w:rPr>
              <w:t>Student</w:t>
            </w:r>
          </w:p>
        </w:tc>
        <w:tc>
          <w:tcPr>
            <w:tcW w:type="dxa" w:w="8712"/>
            <w:tcMar>
              <w:top w:w="80" w:type="dxa"/>
              <w:start w:w="100" w:type="dxa"/>
              <w:bottom w:w="80" w:type="dxa"/>
              <w:end w:w="100" w:type="dxa"/>
            </w:tcMar>
          </w:tcPr>
          <w:p>
            <w:r/>
          </w:p>
        </w:tc>
      </w:tr>
      <w:tr>
        <w:trPr>
          <w:cantSplit/>
          <w:trHeight w:val="489" w:hRule="atLeast"/>
        </w:trPr>
        <w:tc>
          <w:tcPr>
            <w:tcW w:type="dxa" w:w="1656"/>
            <w:shd w:fill="E8EEF5"/>
            <w:tcMar>
              <w:top w:w="80" w:type="dxa"/>
              <w:start w:w="100" w:type="dxa"/>
              <w:bottom w:w="80" w:type="dxa"/>
              <w:end w:w="100" w:type="dxa"/>
            </w:tcMar>
          </w:tcPr>
          <w:p>
            <w:r>
              <w:rPr>
                <w:rFonts w:ascii="Futura Demi" w:hAnsi="Futura Demi"/>
                <w:b/>
                <w:color w:val="232D4B"/>
              </w:rPr>
              <w:t>Signature</w:t>
            </w:r>
          </w:p>
        </w:tc>
        <w:tc>
          <w:tcPr>
            <w:tcW w:type="dxa" w:w="8712"/>
            <w:tcMar>
              <w:top w:w="80" w:type="dxa"/>
              <w:start w:w="100" w:type="dxa"/>
              <w:bottom w:w="80" w:type="dxa"/>
              <w:end w:w="100" w:type="dxa"/>
            </w:tcMar>
          </w:tcPr>
          <w:p>
            <w:r/>
          </w:p>
        </w:tc>
      </w:tr>
      <w:tr>
        <w:trPr>
          <w:cantSplit/>
          <w:trHeight w:val="489" w:hRule="atLeast"/>
        </w:trPr>
        <w:tc>
          <w:tcPr>
            <w:tcW w:type="dxa" w:w="1656"/>
            <w:shd w:fill="E8EEF5"/>
            <w:tcMar>
              <w:top w:w="80" w:type="dxa"/>
              <w:start w:w="100" w:type="dxa"/>
              <w:bottom w:w="80" w:type="dxa"/>
              <w:end w:w="100" w:type="dxa"/>
            </w:tcMar>
          </w:tcPr>
          <w:p>
            <w:r>
              <w:rPr>
                <w:rFonts w:ascii="Futura Demi" w:hAnsi="Futura Demi"/>
                <w:b/>
                <w:color w:val="232D4B"/>
              </w:rPr>
              <w:t>Date</w:t>
            </w:r>
          </w:p>
        </w:tc>
        <w:tc>
          <w:tcPr>
            <w:tcW w:type="dxa" w:w="8712"/>
            <w:tcMar>
              <w:top w:w="80" w:type="dxa"/>
              <w:start w:w="100" w:type="dxa"/>
              <w:bottom w:w="80" w:type="dxa"/>
              <w:end w:w="100" w:type="dxa"/>
            </w:tcMar>
          </w:tcPr>
          <w:p>
            <w:r/>
          </w:p>
        </w:tc>
      </w:tr>
    </w:tbl>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Futura Book" w:hAnsi="Futura Book"/>
        <w:color w:val="808080"/>
        <w:sz w:val="14"/>
      </w:rPr>
      <w:t xml:space="preserve">Rural Planning and Economic Development | PLAC 5500-001 / LPPP 5559-001 | Fall 2026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Futura Book" w:hAnsi="Futura Book"/>
      <w:color w:val="1F1F1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Futura Demi" w:hAnsi="Futura Demi"/>
      <w:b/>
      <w:bCs/>
      <w:color w:val="232D4B"/>
      <w:sz w:val="3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Futura Demi" w:hAnsi="Futura Demi"/>
      <w:b/>
      <w:bCs/>
      <w:color w:val="E57200"/>
      <w:sz w:val="24"/>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Futura Demi" w:hAnsi="Futura Demi"/>
      <w:b/>
      <w:bCs/>
      <w:color w:val="232D4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120"/>
      <w:contextualSpacing/>
    </w:pPr>
    <w:rPr>
      <w:rFonts w:asciiTheme="majorHAnsi" w:eastAsiaTheme="majorEastAsia" w:hAnsiTheme="majorHAnsi" w:cstheme="majorBidi" w:ascii="Futura Demi" w:hAnsi="Futura Demi"/>
      <w:b/>
      <w:color w:val="232D4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20" w:after="60"/>
    </w:pPr>
    <w:rPr>
      <w:rFonts w:asciiTheme="majorHAnsi" w:eastAsiaTheme="majorEastAsia" w:hAnsiTheme="majorHAnsi" w:cstheme="majorBidi" w:ascii="Futura Demi" w:hAnsi="Futura Demi"/>
      <w:b/>
      <w:i/>
      <w:iCs/>
      <w:color w:val="80808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Assignment 4: Analysis of Your Choice</dc:title>
  <dc:subject>Rural Planning and Economic Development</dc:subject>
  <dc:creator>Tyler Hinkle, AICP</dc:creator>
  <cp:keywords>rural planning; economic development; course template; UVA</cp:keywords>
  <dc:description>Built from the Fall 2026 syllabus and current course assignment sources.</dc:description>
  <cp:lastModifiedBy/>
  <cp:revision>1</cp:revision>
  <dcterms:created xsi:type="dcterms:W3CDTF">2013-12-23T23:15:00Z</dcterms:created>
  <dcterms:modified xsi:type="dcterms:W3CDTF">2013-12-23T23:15:00Z</dcterms:modified>
  <cp:category/>
</cp:coreProperties>
</file>